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9D3B" w14:textId="79078241" w:rsidR="0086442C" w:rsidRPr="002E6C5C" w:rsidRDefault="002E6C5C">
      <w:pPr>
        <w:rPr>
          <w:b/>
          <w:bCs/>
        </w:rPr>
      </w:pPr>
      <w:r w:rsidRPr="002E6C5C">
        <w:rPr>
          <w:b/>
          <w:bCs/>
        </w:rPr>
        <w:t>PUČKO OTVORENO UČILIŠTE KRIŽEVCI</w:t>
      </w:r>
    </w:p>
    <w:p w14:paraId="62B21ACA" w14:textId="27200BF8" w:rsidR="002E6C5C" w:rsidRPr="002E6C5C" w:rsidRDefault="002E6C5C">
      <w:pPr>
        <w:rPr>
          <w:b/>
          <w:bCs/>
        </w:rPr>
      </w:pPr>
      <w:r w:rsidRPr="002E6C5C">
        <w:rPr>
          <w:b/>
          <w:bCs/>
        </w:rPr>
        <w:t>TRG SV. FLORIJANA 14, KRIŽEVCI</w:t>
      </w:r>
    </w:p>
    <w:p w14:paraId="7CC50BA0" w14:textId="7379A7CF" w:rsidR="002E6C5C" w:rsidRPr="002E6C5C" w:rsidRDefault="002E6C5C">
      <w:pPr>
        <w:rPr>
          <w:b/>
          <w:bCs/>
        </w:rPr>
      </w:pPr>
      <w:r w:rsidRPr="002E6C5C">
        <w:rPr>
          <w:b/>
          <w:bCs/>
        </w:rPr>
        <w:t>OIB: 69478236897</w:t>
      </w:r>
    </w:p>
    <w:p w14:paraId="5694E0C8" w14:textId="086542AE" w:rsidR="002E6C5C" w:rsidRPr="008E1FA7" w:rsidRDefault="002E6C5C">
      <w:r w:rsidRPr="008E1FA7">
        <w:rPr>
          <w:b/>
          <w:bCs/>
        </w:rPr>
        <w:t>Klasa</w:t>
      </w:r>
      <w:r w:rsidRPr="008E1FA7">
        <w:t>: 400-0</w:t>
      </w:r>
      <w:r w:rsidR="00C43543" w:rsidRPr="008E1FA7">
        <w:t>2</w:t>
      </w:r>
      <w:r w:rsidRPr="008E1FA7">
        <w:t>/2</w:t>
      </w:r>
      <w:r w:rsidR="00CF51EC" w:rsidRPr="008E1FA7">
        <w:t>4</w:t>
      </w:r>
      <w:r w:rsidRPr="008E1FA7">
        <w:t>-0</w:t>
      </w:r>
      <w:r w:rsidR="00C43543" w:rsidRPr="008E1FA7">
        <w:t>1</w:t>
      </w:r>
      <w:r w:rsidRPr="008E1FA7">
        <w:t>/00</w:t>
      </w:r>
      <w:r w:rsidR="00C43543" w:rsidRPr="008E1FA7">
        <w:t>1</w:t>
      </w:r>
    </w:p>
    <w:p w14:paraId="4679B1A8" w14:textId="4DF9974B" w:rsidR="002E6C5C" w:rsidRPr="00116A76" w:rsidRDefault="002E6C5C">
      <w:r w:rsidRPr="008E1FA7">
        <w:rPr>
          <w:b/>
          <w:bCs/>
        </w:rPr>
        <w:t>Urbroj</w:t>
      </w:r>
      <w:r w:rsidRPr="008E1FA7">
        <w:t>: 2137-81/2</w:t>
      </w:r>
      <w:r w:rsidR="00C43543" w:rsidRPr="008E1FA7">
        <w:t>4</w:t>
      </w:r>
      <w:r w:rsidRPr="008E1FA7">
        <w:t>-0</w:t>
      </w:r>
      <w:r w:rsidR="00C43543" w:rsidRPr="008E1FA7">
        <w:t>1</w:t>
      </w:r>
      <w:r w:rsidRPr="008E1FA7">
        <w:t>/00</w:t>
      </w:r>
      <w:r w:rsidR="000331D8">
        <w:t>3</w:t>
      </w:r>
    </w:p>
    <w:p w14:paraId="4C746D37" w14:textId="685BEFAA" w:rsidR="002E6C5C" w:rsidRPr="002E6C5C" w:rsidRDefault="002E6C5C">
      <w:pPr>
        <w:rPr>
          <w:b/>
          <w:bCs/>
        </w:rPr>
      </w:pPr>
      <w:r w:rsidRPr="002E6C5C">
        <w:rPr>
          <w:b/>
          <w:bCs/>
        </w:rPr>
        <w:t xml:space="preserve">Križevci, </w:t>
      </w:r>
      <w:r w:rsidR="00E06456">
        <w:rPr>
          <w:b/>
          <w:bCs/>
        </w:rPr>
        <w:t xml:space="preserve">1. </w:t>
      </w:r>
      <w:r w:rsidR="000331D8">
        <w:rPr>
          <w:b/>
          <w:bCs/>
        </w:rPr>
        <w:t>7</w:t>
      </w:r>
      <w:r w:rsidR="00E06456">
        <w:rPr>
          <w:b/>
          <w:bCs/>
        </w:rPr>
        <w:t>. 2024.</w:t>
      </w:r>
    </w:p>
    <w:p w14:paraId="173ECA37" w14:textId="77777777" w:rsidR="002E6C5C" w:rsidRDefault="002E6C5C"/>
    <w:p w14:paraId="60950E2A" w14:textId="77777777" w:rsidR="002E6C5C" w:rsidRDefault="002E6C5C"/>
    <w:p w14:paraId="69DEC130" w14:textId="77777777" w:rsidR="002E6C5C" w:rsidRDefault="002E6C5C"/>
    <w:p w14:paraId="01077F14" w14:textId="77777777" w:rsidR="002E6C5C" w:rsidRDefault="002E6C5C"/>
    <w:p w14:paraId="62E70761" w14:textId="77777777" w:rsidR="00856D0A" w:rsidRDefault="00856D0A" w:rsidP="002E6C5C">
      <w:pPr>
        <w:jc w:val="center"/>
        <w:rPr>
          <w:b/>
          <w:bCs/>
          <w:sz w:val="28"/>
          <w:szCs w:val="28"/>
        </w:rPr>
      </w:pPr>
    </w:p>
    <w:p w14:paraId="77BCAA7C" w14:textId="77777777" w:rsidR="00856D0A" w:rsidRDefault="00856D0A" w:rsidP="002E6C5C">
      <w:pPr>
        <w:jc w:val="center"/>
        <w:rPr>
          <w:b/>
          <w:bCs/>
          <w:sz w:val="28"/>
          <w:szCs w:val="28"/>
        </w:rPr>
      </w:pPr>
    </w:p>
    <w:p w14:paraId="5B761CA3" w14:textId="2F7E6E33" w:rsidR="002E6C5C" w:rsidRPr="002E6C5C" w:rsidRDefault="002E6C5C" w:rsidP="002E6C5C">
      <w:pPr>
        <w:jc w:val="center"/>
        <w:rPr>
          <w:b/>
          <w:bCs/>
          <w:sz w:val="28"/>
          <w:szCs w:val="28"/>
        </w:rPr>
      </w:pPr>
      <w:r w:rsidRPr="002E6C5C">
        <w:rPr>
          <w:b/>
          <w:bCs/>
          <w:sz w:val="28"/>
          <w:szCs w:val="28"/>
        </w:rPr>
        <w:t xml:space="preserve"> </w:t>
      </w:r>
      <w:r w:rsidR="00E06456">
        <w:rPr>
          <w:b/>
          <w:bCs/>
          <w:sz w:val="28"/>
          <w:szCs w:val="28"/>
        </w:rPr>
        <w:t>PRV</w:t>
      </w:r>
      <w:r w:rsidR="005F503F">
        <w:rPr>
          <w:b/>
          <w:bCs/>
          <w:sz w:val="28"/>
          <w:szCs w:val="28"/>
        </w:rPr>
        <w:t>E</w:t>
      </w:r>
      <w:r w:rsidRPr="002E6C5C">
        <w:rPr>
          <w:b/>
          <w:bCs/>
          <w:sz w:val="28"/>
          <w:szCs w:val="28"/>
        </w:rPr>
        <w:t xml:space="preserve"> IZMJEN</w:t>
      </w:r>
      <w:r w:rsidR="005F503F">
        <w:rPr>
          <w:b/>
          <w:bCs/>
          <w:sz w:val="28"/>
          <w:szCs w:val="28"/>
        </w:rPr>
        <w:t>E</w:t>
      </w:r>
      <w:r w:rsidRPr="002E6C5C">
        <w:rPr>
          <w:b/>
          <w:bCs/>
          <w:sz w:val="28"/>
          <w:szCs w:val="28"/>
        </w:rPr>
        <w:t xml:space="preserve"> I DOPUN</w:t>
      </w:r>
      <w:r w:rsidR="005F503F">
        <w:rPr>
          <w:b/>
          <w:bCs/>
          <w:sz w:val="28"/>
          <w:szCs w:val="28"/>
        </w:rPr>
        <w:t>E</w:t>
      </w:r>
      <w:r w:rsidRPr="002E6C5C">
        <w:rPr>
          <w:b/>
          <w:bCs/>
          <w:sz w:val="28"/>
          <w:szCs w:val="28"/>
        </w:rPr>
        <w:t xml:space="preserve"> FINANCIJSKOG PLANA ZA 202</w:t>
      </w:r>
      <w:r w:rsidR="00E06456">
        <w:rPr>
          <w:b/>
          <w:bCs/>
          <w:sz w:val="28"/>
          <w:szCs w:val="28"/>
        </w:rPr>
        <w:t>4</w:t>
      </w:r>
      <w:r w:rsidRPr="002E6C5C">
        <w:rPr>
          <w:b/>
          <w:bCs/>
          <w:sz w:val="28"/>
          <w:szCs w:val="28"/>
        </w:rPr>
        <w:t>. GODINU</w:t>
      </w:r>
      <w:r w:rsidR="00502FBF">
        <w:rPr>
          <w:b/>
          <w:bCs/>
          <w:sz w:val="28"/>
          <w:szCs w:val="28"/>
        </w:rPr>
        <w:t>, S PROJEKCIJAMA ZA 2025. I 2026. GODINU</w:t>
      </w:r>
    </w:p>
    <w:p w14:paraId="2171B204" w14:textId="20273DB9" w:rsidR="002E6C5C" w:rsidRPr="002E6C5C" w:rsidRDefault="002E6C5C" w:rsidP="002E6C5C">
      <w:pPr>
        <w:jc w:val="center"/>
        <w:rPr>
          <w:b/>
          <w:bCs/>
          <w:sz w:val="28"/>
          <w:szCs w:val="28"/>
        </w:rPr>
      </w:pPr>
      <w:r w:rsidRPr="002E6C5C">
        <w:rPr>
          <w:b/>
          <w:bCs/>
          <w:sz w:val="28"/>
          <w:szCs w:val="28"/>
        </w:rPr>
        <w:t>PUČKOG OTVORENOG UČILIŠTA KRIŽEVCI</w:t>
      </w:r>
    </w:p>
    <w:p w14:paraId="35EF2721" w14:textId="25AB5895" w:rsidR="00335EE4" w:rsidRDefault="00335EE4">
      <w:r>
        <w:br w:type="page"/>
      </w:r>
    </w:p>
    <w:tbl>
      <w:tblPr>
        <w:tblW w:w="10102" w:type="dxa"/>
        <w:tblInd w:w="-515" w:type="dxa"/>
        <w:tblLook w:val="04A0" w:firstRow="1" w:lastRow="0" w:firstColumn="1" w:lastColumn="0" w:noHBand="0" w:noVBand="1"/>
      </w:tblPr>
      <w:tblGrid>
        <w:gridCol w:w="4240"/>
        <w:gridCol w:w="1880"/>
        <w:gridCol w:w="1880"/>
        <w:gridCol w:w="1880"/>
        <w:gridCol w:w="222"/>
      </w:tblGrid>
      <w:tr w:rsidR="00486CC1" w:rsidRPr="00486CC1" w14:paraId="329C32A5" w14:textId="77777777" w:rsidTr="00486CC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C7F" w14:textId="77777777" w:rsidR="00486CC1" w:rsidRPr="00486CC1" w:rsidRDefault="00486CC1" w:rsidP="00532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E5A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0D8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99D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27F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66EB766E" w14:textId="77777777" w:rsidTr="00486CC1">
        <w:trPr>
          <w:trHeight w:val="255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BBFC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I. OPĆI DIO</w:t>
            </w:r>
          </w:p>
        </w:tc>
      </w:tr>
      <w:tr w:rsidR="00486CC1" w:rsidRPr="00486CC1" w14:paraId="130898D4" w14:textId="77777777" w:rsidTr="00486CC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4987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BA5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61F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4168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2426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478A1260" w14:textId="77777777" w:rsidTr="00486CC1">
        <w:trPr>
          <w:trHeight w:val="255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BA62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A) SAŽETAK RAČUNA PRIHODA I RASHODA</w:t>
            </w:r>
          </w:p>
        </w:tc>
      </w:tr>
      <w:tr w:rsidR="00486CC1" w:rsidRPr="00486CC1" w14:paraId="7F877354" w14:textId="77777777" w:rsidTr="00486CC1">
        <w:trPr>
          <w:trHeight w:val="1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BF60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8D4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445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14E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B917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44A340EC" w14:textId="77777777" w:rsidTr="00486CC1">
        <w:trPr>
          <w:trHeight w:val="40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64C4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i naziv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616F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BBF0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AD25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za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3ECF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5B003BC6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80A4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E46D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030F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5203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DE5C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74812A27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020F4B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118D7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96C99D8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21.434,62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656D34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235.894,62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70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165B5AF0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065E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PRIHODI POSLOVANJA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02B6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F3A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21.434,62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5151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235.894,62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FBC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504C305F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6248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4DB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D62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5A21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42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3BE7C8B7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5E8806F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93E696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01CE2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4F6B5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E05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A43B746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FAE8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 RASHODI POSLOVANJA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7BBC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213.960,00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B2E3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9543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234.793,11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3A3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107F58A9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E813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ED1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F43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69F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8C6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37D7EFF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0790DEF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RAZLIKA - VIŠAK / MANJAK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F1848B0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A970FE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60722C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12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01937694" w14:textId="77777777" w:rsidTr="00486CC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C9F7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D97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F0EC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6A1F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FFAE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49389D42" w14:textId="77777777" w:rsidTr="00486CC1">
        <w:trPr>
          <w:trHeight w:val="255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C05E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B) SAŽETAK RAČUNA FINANCIRANJA</w:t>
            </w:r>
          </w:p>
        </w:tc>
      </w:tr>
      <w:tr w:rsidR="00486CC1" w:rsidRPr="00486CC1" w14:paraId="1F87D3DF" w14:textId="77777777" w:rsidTr="00486CC1">
        <w:trPr>
          <w:trHeight w:val="1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A6B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6F7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F21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72D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2A9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0CE4A45B" w14:textId="77777777" w:rsidTr="00486CC1">
        <w:trPr>
          <w:trHeight w:val="43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C783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i naziv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BA97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1011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3483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za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BB6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1E6CA94B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E55D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045E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4CFD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3A49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B16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1B8B2943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74F7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15F3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EC88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14C5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A9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30371764" w14:textId="77777777" w:rsidTr="00486CC1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B7B8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F98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177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1A42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0A46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F282E13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8929C0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NETO FINANCIRANJE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5137D1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B2F376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732C55E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764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05FB8384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7C7628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VIŠAK/MANJAK + NETO FINANCIRANJE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CDB28C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4792C8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D6C80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91E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7A6149A4" w14:textId="77777777" w:rsidTr="00486CC1">
        <w:trPr>
          <w:trHeight w:val="27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1A99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989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152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DD9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4FB9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69134332" w14:textId="77777777" w:rsidTr="00486CC1">
        <w:trPr>
          <w:trHeight w:val="255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05D4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C) PRENESENI VIŠAK ILI PRENESENI MANJAK</w:t>
            </w:r>
          </w:p>
        </w:tc>
      </w:tr>
      <w:tr w:rsidR="00486CC1" w:rsidRPr="00486CC1" w14:paraId="44334008" w14:textId="77777777" w:rsidTr="00486CC1">
        <w:trPr>
          <w:trHeight w:val="1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350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9374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63E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9ED8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188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08AE4EA3" w14:textId="77777777" w:rsidTr="00486CC1">
        <w:trPr>
          <w:trHeight w:val="57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5608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7D06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1C6E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8C37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za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F52C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55A02452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78C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B25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FC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9ABB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A8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136032C" w14:textId="77777777" w:rsidTr="00486CC1">
        <w:trPr>
          <w:trHeight w:val="46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B9E53B9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PRIJENOS VIŠKA / MANJKA IZ PRETHODNE(IH) GODINA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FEDCA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64345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63975A8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567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385D6B12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249842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PRIJENOS VIŠKA / MANJKA U SLJEDEĆE RAZDOBLJE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F1FDAF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9DF705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1A497E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5F9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77F6A29B" w14:textId="77777777" w:rsidTr="00486CC1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E174AB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45A9E0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92C3A0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67B561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56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33FB22D0" w14:textId="77777777" w:rsidTr="00486CC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169C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33B6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38A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9E1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0EC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1950A1E5" w14:textId="77777777" w:rsidTr="00486CC1">
        <w:trPr>
          <w:trHeight w:val="255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60AD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D) VIŠEGODIŠNJI PLAN URAVNOTEŽENJA</w:t>
            </w:r>
          </w:p>
        </w:tc>
      </w:tr>
      <w:tr w:rsidR="00486CC1" w:rsidRPr="00486CC1" w14:paraId="4062458C" w14:textId="77777777" w:rsidTr="00486CC1">
        <w:trPr>
          <w:trHeight w:val="10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87E3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40E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010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CC5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CBED" w14:textId="77777777" w:rsidR="00486CC1" w:rsidRPr="00486CC1" w:rsidRDefault="00486CC1" w:rsidP="00486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86CC1" w:rsidRPr="00486CC1" w14:paraId="0B89AF67" w14:textId="77777777" w:rsidTr="00486CC1">
        <w:trPr>
          <w:trHeight w:val="57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EEC5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A60E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1A30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78A1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za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67B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3116CE9D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B96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FDC8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DF8A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6A9B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BFF" w14:textId="77777777" w:rsidR="00486CC1" w:rsidRPr="00486CC1" w:rsidRDefault="00486CC1" w:rsidP="00486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1FED4E25" w14:textId="77777777" w:rsidTr="00486CC1">
        <w:trPr>
          <w:trHeight w:val="46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0122DE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PRIJENOS VIŠKA / MANJKA IZ PRETHODNE(IH) GODINE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DA38393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FB91F1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1AA7F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BC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2FBEDD0" w14:textId="77777777" w:rsidTr="00486CC1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DB9B49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 / MANJAK IZ PRETHODNE(IH) GODINE KOJI ĆE SE RASPOREDITI / POKRITI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E1220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E4212C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D93D4B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5BCE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080F90A7" w14:textId="77777777" w:rsidTr="00486CC1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DF27B1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VIŠAK / MANJAK TEKUĆE GODINE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02970D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69C131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2524D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36A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86CC1" w:rsidRPr="00486CC1" w14:paraId="4762B687" w14:textId="77777777" w:rsidTr="00486CC1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2D13A9" w14:textId="77777777" w:rsidR="00486CC1" w:rsidRPr="00486CC1" w:rsidRDefault="00486CC1" w:rsidP="00486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PRIJENOS VIŠKA / MANJKA U SLJEDEĆE RAZDOBLJE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580EB0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385D0A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562012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C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1C4" w14:textId="77777777" w:rsidR="00486CC1" w:rsidRPr="00486CC1" w:rsidRDefault="00486CC1" w:rsidP="00486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3972041A" w14:textId="1C6B5E85" w:rsidR="00E02678" w:rsidRDefault="00E02678"/>
    <w:p w14:paraId="5E15E77C" w14:textId="77777777" w:rsidR="00E02678" w:rsidRDefault="00E02678">
      <w:r>
        <w:br w:type="page"/>
      </w:r>
    </w:p>
    <w:tbl>
      <w:tblPr>
        <w:tblW w:w="10015" w:type="dxa"/>
        <w:tblInd w:w="-472" w:type="dxa"/>
        <w:tblLook w:val="04A0" w:firstRow="1" w:lastRow="0" w:firstColumn="1" w:lastColumn="0" w:noHBand="0" w:noVBand="1"/>
      </w:tblPr>
      <w:tblGrid>
        <w:gridCol w:w="880"/>
        <w:gridCol w:w="3760"/>
        <w:gridCol w:w="1720"/>
        <w:gridCol w:w="1835"/>
        <w:gridCol w:w="1820"/>
      </w:tblGrid>
      <w:tr w:rsidR="00E02678" w:rsidRPr="00E02678" w14:paraId="6412E804" w14:textId="77777777" w:rsidTr="00E02678">
        <w:trPr>
          <w:trHeight w:val="315"/>
        </w:trPr>
        <w:tc>
          <w:tcPr>
            <w:tcW w:w="10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CB1E" w14:textId="77777777" w:rsidR="0053288B" w:rsidRDefault="0053288B" w:rsidP="00532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4F32D0C" w14:textId="77777777" w:rsidR="0053288B" w:rsidRDefault="0053288B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4E1C36D" w14:textId="69C1F6E6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 RAČUN PRIHODA I RASHODA</w:t>
            </w:r>
          </w:p>
        </w:tc>
      </w:tr>
      <w:tr w:rsidR="00E02678" w:rsidRPr="00E02678" w14:paraId="4C33CA6B" w14:textId="77777777" w:rsidTr="00E02678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BCDE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B35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A976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052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EC0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02678" w:rsidRPr="00E02678" w14:paraId="06A178E9" w14:textId="77777777" w:rsidTr="00E02678">
        <w:trPr>
          <w:trHeight w:val="390"/>
        </w:trPr>
        <w:tc>
          <w:tcPr>
            <w:tcW w:w="10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4FA5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A1. PRIHODI I RASHODI PREMA EKONOMSKOJ KLASIFIKACIJI</w:t>
            </w:r>
          </w:p>
        </w:tc>
      </w:tr>
      <w:tr w:rsidR="00E02678" w:rsidRPr="00E02678" w14:paraId="2E8805BB" w14:textId="77777777" w:rsidTr="00E02678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1CE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0C3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54E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195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13D0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02678" w:rsidRPr="00E02678" w14:paraId="0E186276" w14:textId="77777777" w:rsidTr="00E02678">
        <w:trPr>
          <w:trHeight w:val="5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509161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Razred/ skupina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E603CA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 prihoda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72C3625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261A81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ED3CAD0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2024.</w:t>
            </w:r>
          </w:p>
        </w:tc>
      </w:tr>
      <w:tr w:rsidR="00E02678" w:rsidRPr="00E02678" w14:paraId="7162471B" w14:textId="77777777" w:rsidTr="00E02678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F4A0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7AF7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0B3A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A470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138A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E02678" w:rsidRPr="00E02678" w14:paraId="12198B22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DCEE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5B3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PRIHODI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0255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5A76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21.434,62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23B4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235.894,62</w:t>
            </w:r>
          </w:p>
        </w:tc>
      </w:tr>
      <w:tr w:rsidR="00E02678" w:rsidRPr="00E02678" w14:paraId="4D8DCA10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498D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9AE2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C942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DE2A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21.434,62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CE65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235.894,62</w:t>
            </w:r>
          </w:p>
        </w:tc>
      </w:tr>
      <w:tr w:rsidR="00E02678" w:rsidRPr="00E02678" w14:paraId="5480AFF7" w14:textId="77777777" w:rsidTr="00E02678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ABB1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8402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3159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D71B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145A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E02678" w:rsidRPr="00E02678" w14:paraId="28B35EB5" w14:textId="77777777" w:rsidTr="00E02678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6687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340A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4C28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8348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3873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E02678" w:rsidRPr="00E02678" w14:paraId="1C5DCC54" w14:textId="77777777" w:rsidTr="00E02678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11CF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F3AF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7757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35.600,00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443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75E6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36.800,00</w:t>
            </w:r>
          </w:p>
        </w:tc>
      </w:tr>
      <w:tr w:rsidR="00E02678" w:rsidRPr="00E02678" w14:paraId="731D417C" w14:textId="77777777" w:rsidTr="00E02678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68D6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CE07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DF26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141.810,00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9157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9.984,62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9CF5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151.794,62</w:t>
            </w:r>
          </w:p>
        </w:tc>
      </w:tr>
      <w:tr w:rsidR="00E02678" w:rsidRPr="00E02678" w14:paraId="1FEA6FB1" w14:textId="77777777" w:rsidTr="00E02678">
        <w:trPr>
          <w:trHeight w:val="255"/>
        </w:trPr>
        <w:tc>
          <w:tcPr>
            <w:tcW w:w="10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341F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E02678" w:rsidRPr="00E02678" w14:paraId="37A83FF0" w14:textId="77777777" w:rsidTr="00E02678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9863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BEB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1D40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E2CA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E3F" w14:textId="77777777" w:rsidR="00E02678" w:rsidRPr="00E02678" w:rsidRDefault="00E02678" w:rsidP="00E026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02678" w:rsidRPr="00E02678" w14:paraId="75B9CF93" w14:textId="77777777" w:rsidTr="00E02678">
        <w:trPr>
          <w:trHeight w:val="5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A9A723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Razred/ skupina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37DD876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 rashoda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DE5EC2D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A254DC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9E65F2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2024.</w:t>
            </w:r>
          </w:p>
        </w:tc>
      </w:tr>
      <w:tr w:rsidR="00E02678" w:rsidRPr="00E02678" w14:paraId="2D0B725E" w14:textId="77777777" w:rsidTr="00E02678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325C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EC48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5F8B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4C17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B3BE" w14:textId="77777777" w:rsidR="00E02678" w:rsidRPr="00E02678" w:rsidRDefault="00E02678" w:rsidP="00E0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E02678" w:rsidRPr="00E02678" w14:paraId="4E44D156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3AAB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86A4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1739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B0C9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E903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  <w:tr w:rsidR="00E02678" w:rsidRPr="00E02678" w14:paraId="77C9EF30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A164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484D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9D0C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213.960,00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9E91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E5E9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234.793,11</w:t>
            </w:r>
          </w:p>
        </w:tc>
      </w:tr>
      <w:tr w:rsidR="00E02678" w:rsidRPr="00E02678" w14:paraId="79DF631E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F296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1891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55BC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90.930,00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C5B7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F511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96.365,00</w:t>
            </w:r>
          </w:p>
        </w:tc>
      </w:tr>
      <w:tr w:rsidR="00E02678" w:rsidRPr="00E02678" w14:paraId="3502D220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5CDB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E0D9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D3E1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122.080,00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19B5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15.398,11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0CB9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137.478,11</w:t>
            </w:r>
          </w:p>
        </w:tc>
      </w:tr>
      <w:tr w:rsidR="00E02678" w:rsidRPr="00E02678" w14:paraId="43D53894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E2F3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6F7F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5891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8F37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F0F7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950,00</w:t>
            </w:r>
          </w:p>
        </w:tc>
      </w:tr>
      <w:tr w:rsidR="00E02678" w:rsidRPr="00E02678" w14:paraId="0C74D6D0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618D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4B9F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CDBA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56E6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98FC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E02678" w:rsidRPr="00E02678" w14:paraId="339591ED" w14:textId="77777777" w:rsidTr="00E02678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A62D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0A87" w14:textId="77777777" w:rsidR="00E02678" w:rsidRPr="00E02678" w:rsidRDefault="00E02678" w:rsidP="00E0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B263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5588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2CE1" w14:textId="77777777" w:rsidR="00E02678" w:rsidRPr="00E02678" w:rsidRDefault="00E02678" w:rsidP="00E0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026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</w:tbl>
    <w:p w14:paraId="2E340332" w14:textId="1C6F5A40" w:rsidR="0053288B" w:rsidRDefault="0053288B"/>
    <w:p w14:paraId="76E60258" w14:textId="77777777" w:rsidR="0053288B" w:rsidRDefault="0053288B">
      <w:r>
        <w:br w:type="page"/>
      </w:r>
    </w:p>
    <w:tbl>
      <w:tblPr>
        <w:tblW w:w="10121" w:type="dxa"/>
        <w:tblInd w:w="-526" w:type="dxa"/>
        <w:tblLook w:val="04A0" w:firstRow="1" w:lastRow="0" w:firstColumn="1" w:lastColumn="0" w:noHBand="0" w:noVBand="1"/>
      </w:tblPr>
      <w:tblGrid>
        <w:gridCol w:w="821"/>
        <w:gridCol w:w="3960"/>
        <w:gridCol w:w="1780"/>
        <w:gridCol w:w="1780"/>
        <w:gridCol w:w="1780"/>
      </w:tblGrid>
      <w:tr w:rsidR="00C3424B" w:rsidRPr="00C3424B" w14:paraId="0EC1A10B" w14:textId="77777777" w:rsidTr="00F55606">
        <w:trPr>
          <w:trHeight w:val="255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E66D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A2. PRIHODI I RASHODI PREMA IZVORIMA FINANCIRANJA</w:t>
            </w:r>
          </w:p>
        </w:tc>
      </w:tr>
      <w:tr w:rsidR="00C3424B" w:rsidRPr="00C3424B" w14:paraId="7A210DA4" w14:textId="77777777" w:rsidTr="00F55606">
        <w:trPr>
          <w:trHeight w:val="1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D460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540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1F0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2E49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827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3424B" w:rsidRPr="00C3424B" w14:paraId="08213290" w14:textId="77777777" w:rsidTr="00F55606">
        <w:trPr>
          <w:trHeight w:val="300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45BC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C3424B" w:rsidRPr="00C3424B" w14:paraId="3E00C366" w14:textId="77777777" w:rsidTr="00F55606">
        <w:trPr>
          <w:trHeight w:val="2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C0D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F256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192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032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60E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3424B" w:rsidRPr="00C3424B" w14:paraId="4B74347D" w14:textId="77777777" w:rsidTr="00F55606">
        <w:trPr>
          <w:trHeight w:val="5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E54F181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/</w:t>
            </w: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C1A659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177EEC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6CEE5D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013C53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2024.</w:t>
            </w:r>
          </w:p>
        </w:tc>
      </w:tr>
      <w:tr w:rsidR="00C3424B" w:rsidRPr="00C3424B" w14:paraId="5E0DFC9E" w14:textId="77777777" w:rsidTr="00F55606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6E76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708B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6FDF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7CBB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C6B0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C3424B" w:rsidRPr="00C3424B" w14:paraId="2B3C2196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1975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721A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05B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449F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21.434,62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6232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235.894,62</w:t>
            </w:r>
          </w:p>
        </w:tc>
      </w:tr>
      <w:tr w:rsidR="00C3424B" w:rsidRPr="00C3424B" w14:paraId="7D18A23C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3010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B4F9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8229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203B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9.984,62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6042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151.794,62</w:t>
            </w:r>
          </w:p>
        </w:tc>
      </w:tr>
      <w:tr w:rsidR="00C3424B" w:rsidRPr="00C3424B" w14:paraId="51726223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C4F8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2A98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F485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49FD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9.984,62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472D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151.794,62</w:t>
            </w:r>
          </w:p>
        </w:tc>
      </w:tr>
      <w:tr w:rsidR="00C3424B" w:rsidRPr="00C3424B" w14:paraId="1D6335C6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BBEC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1318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48B4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D1B8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5FC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36.200,00</w:t>
            </w:r>
          </w:p>
        </w:tc>
      </w:tr>
      <w:tr w:rsidR="00C3424B" w:rsidRPr="00C3424B" w14:paraId="36403CF8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AB6D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1472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147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C27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3F25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36.200,00</w:t>
            </w:r>
          </w:p>
        </w:tc>
      </w:tr>
      <w:tr w:rsidR="00C3424B" w:rsidRPr="00C3424B" w14:paraId="06FF3FF5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B75B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FFEB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9664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0C3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8CB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C3424B" w:rsidRPr="00C3424B" w14:paraId="3EF3D5EB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53EE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79BC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0032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46B3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EDE8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C3424B" w:rsidRPr="00C3424B" w14:paraId="46E7A076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5CEF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F804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9E54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AD2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39DD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</w:tr>
      <w:tr w:rsidR="00C3424B" w:rsidRPr="00C3424B" w14:paraId="060A1645" w14:textId="77777777" w:rsidTr="00F55606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AC2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337B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AAF5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5877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907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C3424B" w:rsidRPr="00C3424B" w14:paraId="2FECDAFF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190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F1B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E0F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EB0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2A3A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</w:tr>
      <w:tr w:rsidR="00C3424B" w:rsidRPr="00C3424B" w14:paraId="34963843" w14:textId="77777777" w:rsidTr="00F55606">
        <w:trPr>
          <w:trHeight w:val="300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4001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C3424B" w:rsidRPr="00C3424B" w14:paraId="7586F962" w14:textId="77777777" w:rsidTr="00F55606">
        <w:trPr>
          <w:trHeight w:val="2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A46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14B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720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8F0A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95C" w14:textId="77777777" w:rsidR="00C3424B" w:rsidRPr="00C3424B" w:rsidRDefault="00C3424B" w:rsidP="00C34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3424B" w:rsidRPr="00C3424B" w14:paraId="6B5ED079" w14:textId="77777777" w:rsidTr="00F55606">
        <w:trPr>
          <w:trHeight w:val="5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1A1212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/</w:t>
            </w: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3424EA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78FFD3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4FAFAD3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753AD5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2024.</w:t>
            </w:r>
          </w:p>
        </w:tc>
      </w:tr>
      <w:tr w:rsidR="00C3424B" w:rsidRPr="00C3424B" w14:paraId="61BFFED0" w14:textId="77777777" w:rsidTr="00F55606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9CA8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A5B0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FD71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D435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CE44" w14:textId="77777777" w:rsidR="00C3424B" w:rsidRPr="00C3424B" w:rsidRDefault="00C3424B" w:rsidP="00C3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C3424B" w:rsidRPr="00C3424B" w14:paraId="0F5D6735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51FF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74B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321F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BE74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5742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  <w:tr w:rsidR="00C3424B" w:rsidRPr="00C3424B" w14:paraId="4CA5E538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02D8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E0D9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D08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BF6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6.435,00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AFE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148.245,00</w:t>
            </w:r>
          </w:p>
        </w:tc>
      </w:tr>
      <w:tr w:rsidR="00C3424B" w:rsidRPr="00C3424B" w14:paraId="5FF5A7E2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66F2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FDF9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0BCE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A93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6.435,00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727B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148.245,00</w:t>
            </w:r>
          </w:p>
        </w:tc>
      </w:tr>
      <w:tr w:rsidR="00C3424B" w:rsidRPr="00C3424B" w14:paraId="71461199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62B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E99D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EB8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6192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4.148,11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F03C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39.148,11</w:t>
            </w:r>
          </w:p>
        </w:tc>
      </w:tr>
      <w:tr w:rsidR="00C3424B" w:rsidRPr="00C3424B" w14:paraId="75F5E313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18B0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E664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449F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6DBD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4.148,11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CDAA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39.148,11</w:t>
            </w:r>
          </w:p>
        </w:tc>
      </w:tr>
      <w:tr w:rsidR="00C3424B" w:rsidRPr="00C3424B" w14:paraId="6B6C8076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3474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3D5A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7F3C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FCF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2CE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C3424B" w:rsidRPr="00C3424B" w14:paraId="1A576BD2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2F12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9748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ABE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A0FE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0A5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C3424B" w:rsidRPr="00C3424B" w14:paraId="194CFB8F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2451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06C7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C17C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6693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D58A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</w:tr>
      <w:tr w:rsidR="00C3424B" w:rsidRPr="00C3424B" w14:paraId="09C3EBAB" w14:textId="77777777" w:rsidTr="00F55606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4A22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C221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6CA4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A4C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079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C3424B" w:rsidRPr="00C3424B" w14:paraId="102947F6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B61F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8EAD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690E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E845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8306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</w:tr>
      <w:tr w:rsidR="00C3424B" w:rsidRPr="00C3424B" w14:paraId="53252294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67C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6CC6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DDF1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43B0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884F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C3424B" w:rsidRPr="00C3424B" w14:paraId="12F1226C" w14:textId="77777777" w:rsidTr="00F55606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6679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2093" w14:textId="77777777" w:rsidR="00C3424B" w:rsidRPr="00C3424B" w:rsidRDefault="00C3424B" w:rsidP="00C3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8177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98CF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0A3A" w14:textId="77777777" w:rsidR="00C3424B" w:rsidRPr="00C3424B" w:rsidRDefault="00C3424B" w:rsidP="00C34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342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</w:tbl>
    <w:p w14:paraId="35ABD74C" w14:textId="20A75413" w:rsidR="00F55606" w:rsidRDefault="00F55606"/>
    <w:p w14:paraId="4E511F5D" w14:textId="77777777" w:rsidR="00F55606" w:rsidRDefault="00F55606">
      <w:r>
        <w:br w:type="page"/>
      </w:r>
    </w:p>
    <w:tbl>
      <w:tblPr>
        <w:tblW w:w="10176" w:type="dxa"/>
        <w:tblInd w:w="-547" w:type="dxa"/>
        <w:tblLook w:val="04A0" w:firstRow="1" w:lastRow="0" w:firstColumn="1" w:lastColumn="0" w:noHBand="0" w:noVBand="1"/>
      </w:tblPr>
      <w:tblGrid>
        <w:gridCol w:w="821"/>
        <w:gridCol w:w="4100"/>
        <w:gridCol w:w="1720"/>
        <w:gridCol w:w="1835"/>
        <w:gridCol w:w="1700"/>
      </w:tblGrid>
      <w:tr w:rsidR="0003747B" w:rsidRPr="0003747B" w14:paraId="5FC537FB" w14:textId="77777777" w:rsidTr="0003747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B72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A65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78F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E2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522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47B" w:rsidRPr="0003747B" w14:paraId="4E57E3A9" w14:textId="77777777" w:rsidTr="0003747B">
        <w:trPr>
          <w:trHeight w:val="300"/>
        </w:trPr>
        <w:tc>
          <w:tcPr>
            <w:tcW w:w="10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70FA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I. OPĆI DIO</w:t>
            </w:r>
          </w:p>
        </w:tc>
      </w:tr>
      <w:tr w:rsidR="0003747B" w:rsidRPr="0003747B" w14:paraId="4662ECF9" w14:textId="77777777" w:rsidTr="0003747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71E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2E0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86F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3DF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8AB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47B" w:rsidRPr="0003747B" w14:paraId="514922B1" w14:textId="77777777" w:rsidTr="0003747B">
        <w:trPr>
          <w:trHeight w:val="315"/>
        </w:trPr>
        <w:tc>
          <w:tcPr>
            <w:tcW w:w="10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F92D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A. RAČUN PRIHODA I RASHODA </w:t>
            </w:r>
          </w:p>
        </w:tc>
      </w:tr>
      <w:tr w:rsidR="0003747B" w:rsidRPr="0003747B" w14:paraId="7B262826" w14:textId="77777777" w:rsidTr="0003747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6FD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E2E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7BB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5DE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C77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47B" w:rsidRPr="0003747B" w14:paraId="6C9306F5" w14:textId="77777777" w:rsidTr="0003747B">
        <w:trPr>
          <w:trHeight w:val="315"/>
        </w:trPr>
        <w:tc>
          <w:tcPr>
            <w:tcW w:w="10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3F7B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A3. RASHODI PREMA FUNKCIJSKOJ KLASIFIKACIJI</w:t>
            </w:r>
          </w:p>
        </w:tc>
      </w:tr>
      <w:tr w:rsidR="0003747B" w:rsidRPr="0003747B" w14:paraId="1821FA9C" w14:textId="77777777" w:rsidTr="0003747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477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386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3A6F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B5A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C2C" w14:textId="77777777" w:rsidR="0003747B" w:rsidRPr="0003747B" w:rsidRDefault="0003747B" w:rsidP="000374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47B" w:rsidRPr="0003747B" w14:paraId="69E99941" w14:textId="77777777" w:rsidTr="0003747B">
        <w:trPr>
          <w:trHeight w:val="5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97F61B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Razred/</w:t>
            </w: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C955EE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0F2696B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C32588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83AF52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</w:tr>
      <w:tr w:rsidR="0003747B" w:rsidRPr="0003747B" w14:paraId="1DE7716C" w14:textId="77777777" w:rsidTr="0003747B">
        <w:trPr>
          <w:trHeight w:val="225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42DB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A926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C544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667E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D0BB" w14:textId="77777777" w:rsidR="0003747B" w:rsidRPr="0003747B" w:rsidRDefault="0003747B" w:rsidP="00037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03747B" w:rsidRPr="0003747B" w14:paraId="6C7409A1" w14:textId="77777777" w:rsidTr="0003747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0DC1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96ED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FEED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BB9E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5710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  <w:tr w:rsidR="0003747B" w:rsidRPr="0003747B" w14:paraId="1E8B9C8A" w14:textId="77777777" w:rsidTr="0003747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5967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9E43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Rekreacija, kultura i religija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1BA5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88B2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EE81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  <w:tr w:rsidR="0003747B" w:rsidRPr="0003747B" w14:paraId="36F68CFD" w14:textId="77777777" w:rsidTr="0003747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0D28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AC1E" w14:textId="77777777" w:rsidR="0003747B" w:rsidRPr="0003747B" w:rsidRDefault="0003747B" w:rsidP="00037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Službe kulture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ED03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7E6E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22D9" w14:textId="77777777" w:rsidR="0003747B" w:rsidRPr="0003747B" w:rsidRDefault="0003747B" w:rsidP="000374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74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</w:tbl>
    <w:p w14:paraId="7282D80D" w14:textId="1511F780" w:rsidR="0003747B" w:rsidRDefault="0003747B"/>
    <w:p w14:paraId="6D509ACD" w14:textId="77777777" w:rsidR="0003747B" w:rsidRDefault="0003747B">
      <w:r>
        <w:br w:type="page"/>
      </w:r>
    </w:p>
    <w:tbl>
      <w:tblPr>
        <w:tblW w:w="10015" w:type="dxa"/>
        <w:tblInd w:w="-472" w:type="dxa"/>
        <w:tblLook w:val="04A0" w:firstRow="1" w:lastRow="0" w:firstColumn="1" w:lastColumn="0" w:noHBand="0" w:noVBand="1"/>
      </w:tblPr>
      <w:tblGrid>
        <w:gridCol w:w="880"/>
        <w:gridCol w:w="3740"/>
        <w:gridCol w:w="1740"/>
        <w:gridCol w:w="1835"/>
        <w:gridCol w:w="1820"/>
      </w:tblGrid>
      <w:tr w:rsidR="002934F7" w:rsidRPr="002934F7" w14:paraId="64B55BCD" w14:textId="77777777" w:rsidTr="002934F7">
        <w:trPr>
          <w:trHeight w:val="315"/>
        </w:trPr>
        <w:tc>
          <w:tcPr>
            <w:tcW w:w="10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241E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B1. RAČUN FINANCIRANJA PREMA EKONOMSKOJ KLASIFIKACIJI</w:t>
            </w:r>
          </w:p>
        </w:tc>
      </w:tr>
      <w:tr w:rsidR="002934F7" w:rsidRPr="002934F7" w14:paraId="5BC393CB" w14:textId="77777777" w:rsidTr="002934F7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D90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FAFA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578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E9B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5B1F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934F7" w:rsidRPr="002934F7" w14:paraId="1E5864CE" w14:textId="77777777" w:rsidTr="002934F7">
        <w:trPr>
          <w:trHeight w:val="5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09C349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Razred/ skupina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695C0FB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A192198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2A97D6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Povećanje/smanjenje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0FE1DC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2024.</w:t>
            </w:r>
          </w:p>
        </w:tc>
      </w:tr>
      <w:tr w:rsidR="002934F7" w:rsidRPr="002934F7" w14:paraId="686212CA" w14:textId="77777777" w:rsidTr="002934F7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E8EF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F836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EBDC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3243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F7ED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2934F7" w:rsidRPr="002934F7" w14:paraId="59B4EB04" w14:textId="77777777" w:rsidTr="002934F7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CB78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6647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87A9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3E61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DCDD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2934F7" w:rsidRPr="002934F7" w14:paraId="27EC5D95" w14:textId="77777777" w:rsidTr="002934F7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E567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57F1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82E2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D2C6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B205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</w:tbl>
    <w:p w14:paraId="3742B477" w14:textId="59CD3C88" w:rsidR="002934F7" w:rsidRDefault="002934F7"/>
    <w:p w14:paraId="31981C00" w14:textId="77777777" w:rsidR="002934F7" w:rsidRDefault="002934F7">
      <w:r>
        <w:br w:type="page"/>
      </w:r>
    </w:p>
    <w:tbl>
      <w:tblPr>
        <w:tblW w:w="10943" w:type="dxa"/>
        <w:tblInd w:w="-934" w:type="dxa"/>
        <w:tblLook w:val="04A0" w:firstRow="1" w:lastRow="0" w:firstColumn="1" w:lastColumn="0" w:noHBand="0" w:noVBand="1"/>
      </w:tblPr>
      <w:tblGrid>
        <w:gridCol w:w="679"/>
        <w:gridCol w:w="590"/>
        <w:gridCol w:w="287"/>
        <w:gridCol w:w="2686"/>
        <w:gridCol w:w="236"/>
        <w:gridCol w:w="1645"/>
        <w:gridCol w:w="1652"/>
        <w:gridCol w:w="1773"/>
        <w:gridCol w:w="723"/>
        <w:gridCol w:w="723"/>
      </w:tblGrid>
      <w:tr w:rsidR="00C95479" w:rsidRPr="002934F7" w14:paraId="74CA2D2A" w14:textId="77777777" w:rsidTr="00C95479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9ACF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23C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A504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4D4B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EAA0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E54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AD1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16A6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629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427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934F7" w:rsidRPr="002934F7" w14:paraId="53819F58" w14:textId="77777777" w:rsidTr="002934F7">
        <w:trPr>
          <w:trHeight w:val="255"/>
        </w:trPr>
        <w:tc>
          <w:tcPr>
            <w:tcW w:w="10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8BAA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I. OPĆI DIO</w:t>
            </w:r>
          </w:p>
        </w:tc>
      </w:tr>
      <w:tr w:rsidR="00C95479" w:rsidRPr="002934F7" w14:paraId="5E8A41BF" w14:textId="77777777" w:rsidTr="00C95479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1B7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ECA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5E5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C37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4A6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7F8A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38F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0EF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AC34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D66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934F7" w:rsidRPr="002934F7" w14:paraId="7171E984" w14:textId="77777777" w:rsidTr="002934F7">
        <w:trPr>
          <w:trHeight w:val="255"/>
        </w:trPr>
        <w:tc>
          <w:tcPr>
            <w:tcW w:w="10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3638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C) PRENESENI VIŠAK ILI PRENESENI MANJAK</w:t>
            </w:r>
          </w:p>
        </w:tc>
      </w:tr>
      <w:tr w:rsidR="00C95479" w:rsidRPr="002934F7" w14:paraId="743D8ABE" w14:textId="77777777" w:rsidTr="00C95479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1CD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142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E5F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73D9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D6E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6E9A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DB5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B05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C8BA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693" w14:textId="77777777" w:rsidR="002934F7" w:rsidRPr="002934F7" w:rsidRDefault="002934F7" w:rsidP="002934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934F7" w:rsidRPr="002934F7" w14:paraId="0E6093B5" w14:textId="77777777" w:rsidTr="00C95479">
        <w:trPr>
          <w:trHeight w:val="6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80096F4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Konto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9ABF943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866B76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D56BD3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Ostvarenje/izvršenje 2023.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6967550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plan proračuna za 2024. godinu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51F5B0D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Ostvarenje/izvršenje 2024.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EF4C528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Indeks </w:t>
            </w: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6/4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F3C7BA7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6/5</w:t>
            </w:r>
          </w:p>
        </w:tc>
      </w:tr>
      <w:tr w:rsidR="00C95479" w:rsidRPr="002934F7" w14:paraId="0CEABBAB" w14:textId="77777777" w:rsidTr="00C95479">
        <w:trPr>
          <w:trHeight w:val="22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38A8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5DD3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247F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E27F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EB1D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B498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E4D6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D9BB" w14:textId="77777777" w:rsidR="002934F7" w:rsidRPr="002934F7" w:rsidRDefault="002934F7" w:rsidP="0029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</w:t>
            </w:r>
          </w:p>
        </w:tc>
      </w:tr>
      <w:tr w:rsidR="00C95479" w:rsidRPr="002934F7" w14:paraId="2A0DA518" w14:textId="77777777" w:rsidTr="00C95479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55B5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B847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461F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izvori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F44C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C3B3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9DCB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4092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1A59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</w:t>
            </w:r>
          </w:p>
        </w:tc>
      </w:tr>
      <w:tr w:rsidR="00C95479" w:rsidRPr="002934F7" w14:paraId="2DBD1AE8" w14:textId="77777777" w:rsidTr="00C95479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5E9C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7F29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FE5F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 poslovanja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3802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9917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E4A4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-601,51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46E4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4E1A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</w:t>
            </w:r>
          </w:p>
        </w:tc>
      </w:tr>
      <w:tr w:rsidR="00C95479" w:rsidRPr="002934F7" w14:paraId="33C33BE2" w14:textId="77777777" w:rsidTr="00C95479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F97E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2DFD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2D3B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270C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BF71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-3.549,62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21D9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-3.549,62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6CD4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E98B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</w:t>
            </w:r>
          </w:p>
        </w:tc>
      </w:tr>
      <w:tr w:rsidR="00C95479" w:rsidRPr="002934F7" w14:paraId="516E14DD" w14:textId="77777777" w:rsidTr="00C95479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2464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019F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FCD1" w14:textId="77777777" w:rsidR="002934F7" w:rsidRPr="002934F7" w:rsidRDefault="002934F7" w:rsidP="00293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9F6B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75E8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2.948,11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1B4D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2.948,11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2088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C6CA" w14:textId="77777777" w:rsidR="002934F7" w:rsidRPr="002934F7" w:rsidRDefault="002934F7" w:rsidP="002934F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4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</w:t>
            </w:r>
          </w:p>
        </w:tc>
      </w:tr>
    </w:tbl>
    <w:p w14:paraId="491F88BB" w14:textId="7793526C" w:rsidR="00496EBC" w:rsidRDefault="00496EBC"/>
    <w:p w14:paraId="69CDF7DC" w14:textId="77777777" w:rsidR="00496EBC" w:rsidRDefault="00496EBC">
      <w:r>
        <w:br w:type="page"/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100"/>
        <w:gridCol w:w="3640"/>
        <w:gridCol w:w="1400"/>
        <w:gridCol w:w="1400"/>
        <w:gridCol w:w="1400"/>
      </w:tblGrid>
      <w:tr w:rsidR="002162E2" w:rsidRPr="002162E2" w14:paraId="19FF8F23" w14:textId="77777777" w:rsidTr="002162E2">
        <w:trPr>
          <w:trHeight w:val="3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1125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II. POSEBNI DIO</w:t>
            </w:r>
          </w:p>
        </w:tc>
      </w:tr>
      <w:tr w:rsidR="002162E2" w:rsidRPr="002162E2" w14:paraId="0DEF9AFF" w14:textId="77777777" w:rsidTr="002162E2">
        <w:trPr>
          <w:trHeight w:val="1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EB42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FFF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E90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DDA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17B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162E2" w:rsidRPr="002162E2" w14:paraId="4763131A" w14:textId="77777777" w:rsidTr="002162E2">
        <w:trPr>
          <w:trHeight w:val="3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DDE9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Posebni dio po programskoj klasifikaciji</w:t>
            </w:r>
          </w:p>
        </w:tc>
      </w:tr>
      <w:tr w:rsidR="002162E2" w:rsidRPr="002162E2" w14:paraId="7FF47BF0" w14:textId="77777777" w:rsidTr="002162E2">
        <w:trPr>
          <w:trHeight w:val="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B605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508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E3C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D9B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1ACA" w14:textId="77777777" w:rsidR="002162E2" w:rsidRPr="002162E2" w:rsidRDefault="002162E2" w:rsidP="00216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162E2" w:rsidRPr="002162E2" w14:paraId="1E19DD78" w14:textId="77777777" w:rsidTr="002162E2">
        <w:trPr>
          <w:trHeight w:val="57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143AE1B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7B2ED3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C05FDF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B2AB45F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56697E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za 2024.</w:t>
            </w:r>
          </w:p>
        </w:tc>
      </w:tr>
      <w:tr w:rsidR="002162E2" w:rsidRPr="002162E2" w14:paraId="3F030117" w14:textId="77777777" w:rsidTr="002162E2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FE23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71BD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1E27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8461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3848" w14:textId="77777777" w:rsidR="002162E2" w:rsidRPr="002162E2" w:rsidRDefault="002162E2" w:rsidP="0021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2162E2" w:rsidRPr="002162E2" w14:paraId="14272EEF" w14:textId="77777777" w:rsidTr="002162E2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AE8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   3401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CBA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KULTURNO-OBRAZOVNA DJELATNOST - PUČKO OTVORENO UČILIŠTE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AD7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214.460,00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B7D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20.833,11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B39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235.293,11</w:t>
            </w:r>
          </w:p>
        </w:tc>
      </w:tr>
      <w:tr w:rsidR="002162E2" w:rsidRPr="002162E2" w14:paraId="39D7B7BC" w14:textId="77777777" w:rsidTr="002162E2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305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1ED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REDOVNI RAD PUČKOG OTVORENOG UČILIŠTA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28D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151.860,00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DC2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FE7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165.395,00</w:t>
            </w:r>
          </w:p>
        </w:tc>
      </w:tr>
      <w:tr w:rsidR="002162E2" w:rsidRPr="002162E2" w14:paraId="2E005FBE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753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D6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CFF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925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FCA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125.595,00</w:t>
            </w:r>
          </w:p>
        </w:tc>
      </w:tr>
      <w:tr w:rsidR="002162E2" w:rsidRPr="002162E2" w14:paraId="35E9D6E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B8C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0322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22D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823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67F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125.595,00</w:t>
            </w:r>
          </w:p>
        </w:tc>
      </w:tr>
      <w:tr w:rsidR="002162E2" w:rsidRPr="002162E2" w14:paraId="7C8E1430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3EE5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D55F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72D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90.330,00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112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E31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95.765,00</w:t>
            </w:r>
          </w:p>
        </w:tc>
      </w:tr>
      <w:tr w:rsidR="002162E2" w:rsidRPr="002162E2" w14:paraId="09CA46BF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7B0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DD04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A6B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802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A24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29.830,00</w:t>
            </w:r>
          </w:p>
        </w:tc>
      </w:tr>
      <w:tr w:rsidR="002162E2" w:rsidRPr="002162E2" w14:paraId="71D68488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CA8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7F4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7F4A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121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34B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</w:tr>
      <w:tr w:rsidR="002162E2" w:rsidRPr="002162E2" w14:paraId="4D589E7F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41D4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3590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9D1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7C0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2DD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</w:tr>
      <w:tr w:rsidR="002162E2" w:rsidRPr="002162E2" w14:paraId="3FD88425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3E9C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C3A9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EDD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CA2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7EA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</w:tr>
      <w:tr w:rsidR="002162E2" w:rsidRPr="002162E2" w14:paraId="65C69269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5C5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CB8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C40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F23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128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36.900,00</w:t>
            </w:r>
          </w:p>
        </w:tc>
      </w:tr>
      <w:tr w:rsidR="002162E2" w:rsidRPr="002162E2" w14:paraId="3F867A5A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C52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238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2BB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E95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857A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36.400,00</w:t>
            </w:r>
          </w:p>
        </w:tc>
      </w:tr>
      <w:tr w:rsidR="002162E2" w:rsidRPr="002162E2" w14:paraId="459AA614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B12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F29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96D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959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C4F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36.250,00</w:t>
            </w:r>
          </w:p>
        </w:tc>
      </w:tr>
      <w:tr w:rsidR="002162E2" w:rsidRPr="002162E2" w14:paraId="6636C55D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1F6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F5CC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9555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D26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318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150,00</w:t>
            </w:r>
          </w:p>
        </w:tc>
      </w:tr>
      <w:tr w:rsidR="002162E2" w:rsidRPr="002162E2" w14:paraId="5384CF2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643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6D3F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C68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1AA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5A8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2162E2" w:rsidRPr="002162E2" w14:paraId="0B967517" w14:textId="77777777" w:rsidTr="002162E2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F5A5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72B0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A92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D1A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D73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2162E2" w:rsidRPr="002162E2" w14:paraId="2169F72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A7BB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8980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KINO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C1C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A83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3.648,11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4E05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52.148,11</w:t>
            </w:r>
          </w:p>
        </w:tc>
      </w:tr>
      <w:tr w:rsidR="002162E2" w:rsidRPr="002162E2" w14:paraId="69DC990F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44C4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1CD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7E3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8FB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A00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2162E2" w:rsidRPr="002162E2" w14:paraId="093F267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CBF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6B5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D3A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835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853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2162E2" w:rsidRPr="002162E2" w14:paraId="7357ABAE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6AA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CD0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48E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AB1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B39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2162E2" w:rsidRPr="002162E2" w14:paraId="0E1E504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390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D2E0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AA5A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036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3.648,11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75E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36.148,11</w:t>
            </w:r>
          </w:p>
        </w:tc>
      </w:tr>
      <w:tr w:rsidR="002162E2" w:rsidRPr="002162E2" w14:paraId="4A54A799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6519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377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943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1212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3.648,11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FB55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36.148,11</w:t>
            </w:r>
          </w:p>
        </w:tc>
      </w:tr>
      <w:tr w:rsidR="002162E2" w:rsidRPr="002162E2" w14:paraId="60C4F8FE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6982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5A4C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E6A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8F9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3.648,11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100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35.348,11</w:t>
            </w:r>
          </w:p>
        </w:tc>
      </w:tr>
      <w:tr w:rsidR="002162E2" w:rsidRPr="002162E2" w14:paraId="2C10CB93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0C4D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1D29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DFE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498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D13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</w:tr>
      <w:tr w:rsidR="002162E2" w:rsidRPr="002162E2" w14:paraId="54968A9E" w14:textId="77777777" w:rsidTr="002162E2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A0C5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K340107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5B4B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UREĐENJE PODRUMSKE DVORANE HRVATSKOG DOMA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08C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FE3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F6F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</w:tr>
      <w:tr w:rsidR="002162E2" w:rsidRPr="002162E2" w14:paraId="04435C76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B94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7F2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FB5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3D2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0D7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</w:tr>
      <w:tr w:rsidR="002162E2" w:rsidRPr="002162E2" w14:paraId="3EC07A23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C042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FF5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C48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1D32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032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</w:tr>
      <w:tr w:rsidR="002162E2" w:rsidRPr="002162E2" w14:paraId="3CD406C8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71AB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AEF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580E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E38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C492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6.650,00</w:t>
            </w:r>
          </w:p>
        </w:tc>
      </w:tr>
      <w:tr w:rsidR="002162E2" w:rsidRPr="002162E2" w14:paraId="25292EC5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F64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EB6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727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DA8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653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2162E2" w:rsidRPr="002162E2" w14:paraId="6E850730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FBDB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D48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16D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117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BFC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2162E2" w:rsidRPr="002162E2" w14:paraId="30681060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AABC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B029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E1C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35D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778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2162E2" w:rsidRPr="002162E2" w14:paraId="1277C21F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F68A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C06F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33E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B72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4BE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2162E2" w:rsidRPr="002162E2" w14:paraId="553DC8E3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C86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C02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775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C55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4D1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2162E2" w:rsidRPr="002162E2" w14:paraId="42A129E2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976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928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E53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395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2683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2162E2" w:rsidRPr="002162E2" w14:paraId="1E4292F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A914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4645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RUKE – RECIKLIRAM, UČIM, KREIRAM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B562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552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B03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</w:tr>
      <w:tr w:rsidR="002162E2" w:rsidRPr="002162E2" w14:paraId="06D8EAFD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C4CD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D9B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3B6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331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937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</w:tr>
      <w:tr w:rsidR="002162E2" w:rsidRPr="002162E2" w14:paraId="14B33732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AC93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53E1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955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D439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5478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</w:tr>
      <w:tr w:rsidR="002162E2" w:rsidRPr="002162E2" w14:paraId="1CA0ED80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2419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AFFF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861A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83B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D485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</w:tr>
      <w:tr w:rsidR="002162E2" w:rsidRPr="002162E2" w14:paraId="01417CE4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12A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71A0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ERASMUS+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E29C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728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A36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2162E2" w:rsidRPr="002162E2" w14:paraId="13AE56C4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DB7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5D9E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3F3B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833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B097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2162E2" w:rsidRPr="002162E2" w14:paraId="31766A8B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62BD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B5B8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0B24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3FDD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EEAF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2162E2" w:rsidRPr="002162E2" w14:paraId="16B953F7" w14:textId="77777777" w:rsidTr="002162E2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2E77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4826" w14:textId="77777777" w:rsidR="002162E2" w:rsidRPr="002162E2" w:rsidRDefault="002162E2" w:rsidP="0021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A721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8836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56B0" w14:textId="77777777" w:rsidR="002162E2" w:rsidRPr="002162E2" w:rsidRDefault="002162E2" w:rsidP="00216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62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</w:tbl>
    <w:p w14:paraId="570BB7B4" w14:textId="0FBA40AE" w:rsidR="000F0124" w:rsidRDefault="000F0124"/>
    <w:p w14:paraId="775019DE" w14:textId="77777777" w:rsidR="000F0124" w:rsidRDefault="000F0124">
      <w:r>
        <w:br w:type="page"/>
      </w:r>
    </w:p>
    <w:p w14:paraId="103A2723" w14:textId="77777777" w:rsidR="00276114" w:rsidRDefault="00276114">
      <w:pPr>
        <w:sectPr w:rsidR="00276114" w:rsidSect="00856D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500"/>
        <w:gridCol w:w="1060"/>
        <w:gridCol w:w="5860"/>
        <w:gridCol w:w="2180"/>
        <w:gridCol w:w="2180"/>
        <w:gridCol w:w="40"/>
        <w:gridCol w:w="2140"/>
        <w:gridCol w:w="940"/>
      </w:tblGrid>
      <w:tr w:rsidR="00276114" w:rsidRPr="00276114" w14:paraId="6E92D0B9" w14:textId="77777777" w:rsidTr="00276114">
        <w:trPr>
          <w:trHeight w:val="255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7AC5" w14:textId="77777777" w:rsidR="00276114" w:rsidRPr="00276114" w:rsidRDefault="00276114" w:rsidP="0027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REBALANS</w:t>
            </w:r>
          </w:p>
        </w:tc>
      </w:tr>
      <w:tr w:rsidR="00276114" w:rsidRPr="00276114" w14:paraId="678F65C5" w14:textId="77777777" w:rsidTr="00276114">
        <w:trPr>
          <w:trHeight w:val="255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3E79" w14:textId="77777777" w:rsidR="00276114" w:rsidRPr="00276114" w:rsidRDefault="00276114" w:rsidP="002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 razdoblje od 1.1.2024 do 31.12.2024</w:t>
            </w:r>
          </w:p>
        </w:tc>
      </w:tr>
      <w:tr w:rsidR="00276114" w:rsidRPr="00276114" w14:paraId="7F643404" w14:textId="77777777" w:rsidTr="00276114">
        <w:trPr>
          <w:trHeight w:val="375"/>
        </w:trPr>
        <w:tc>
          <w:tcPr>
            <w:tcW w:w="2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40312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AA5EF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SVEUKUPNO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08F8C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3BCD3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3DA82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68B7E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42C89040" w14:textId="77777777" w:rsidTr="00276114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2C7D8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D7A80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Naziv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5649D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Planirano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5CB95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Povećanje/smanjenje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401E5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Novi plan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D7FB1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Index</w:t>
            </w:r>
          </w:p>
        </w:tc>
      </w:tr>
      <w:tr w:rsidR="00276114" w:rsidRPr="00276114" w14:paraId="366CAC0F" w14:textId="77777777" w:rsidTr="00276114">
        <w:trPr>
          <w:trHeight w:val="37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2352BA7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RAZDJEL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37C96C6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4550BC8E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455E6735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51AA2B0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08409B8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319B85E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3B313025" w14:textId="77777777" w:rsidTr="00276114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02119DA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GLAVA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78DAFB1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00000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03DEB9B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128823C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0BD0A7B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5EBFC47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7DE0FC0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2CFE8BB3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910DDA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714EE5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9087E2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5DCBCB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0409FC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A3F8E2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33E6D9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0D9B8634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C42301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23AAE1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0350E0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E69124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FEF8D9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4183C5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0D0997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5C7AB448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278400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A3C01E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B23280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EC39EA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1A9A40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407D34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B41202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18433292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A6318A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6B4B69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DCDEAD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FB628A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A4312A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A300F3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0C3F2B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767645ED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4F7C79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0B06FF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BC4A34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1B8FCB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0C3C01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0ADE4E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A32B5D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46A47D9E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2659E7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F7D9CD6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0F6BAE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46BE40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A18241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B2DFCC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E47E18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6600AFF6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F73F45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E723EB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FDCF5C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ACCCFF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7.350,00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E5240C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48C897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E83167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5E918BAE" w14:textId="77777777" w:rsidTr="00276114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36B521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738775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C47600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93AFBE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6DF8CB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926054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2A427A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04B84E3D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0A8688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7BEE67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19C8B3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D95C65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5E635F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BB1406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A01DE4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14605D18" w14:textId="77777777" w:rsidTr="00276114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2D9E3FD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PROGRAM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2B041876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0000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572B3C4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30B4990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1B60947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632B6B2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13BB52B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1B5CEB76" w14:textId="77777777" w:rsidTr="00276114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FE020C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Nepoznato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4577CC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0B5B383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587450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716F20B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F46CEC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A78122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1AEDF8C3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6C1D56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5257BF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A122DA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66EB8A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0AF066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5969E6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E47936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0D3E50E6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66D0285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F066C3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471D01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D49145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79D3AF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5EC2A3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01D407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418D5F87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AB2483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4895CD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4BA9AE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5D5C67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52AC92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5747AF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09D673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248286B9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796A0D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8A67B4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5D34A3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5D25B5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207307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8DBE60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7138FD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72A0CA75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E77299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C83838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C59038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DE8D15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7B4EB0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2A82F6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92F321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5E50431E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D83ED3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931531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44D84F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CF2582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82DF13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58BCBA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F0FDAF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5CF35426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82BCCB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35A254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45524F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17790C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7.350,00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2F966C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4E997C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0703D7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6815A7AA" w14:textId="77777777" w:rsidTr="00276114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DF0260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0F077F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43653C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339FE5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2DE782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BB34E2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8CAD33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2386BE8A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1CE17ED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A78998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FA7370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CF7A13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2EFF34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A54A4C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C42A37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4CE139F4" w14:textId="77777777" w:rsidTr="0027611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3487C9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EE0792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5493E3B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894F16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4FEB0A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9CC9AA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9563FF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05865B28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7779213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7CFBA06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C44970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4E62059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17E225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7EF92AD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7EC766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589EF3A5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C0E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B8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278D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407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D7F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21.434,62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D8F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235.894,62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C14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9,99</w:t>
            </w:r>
          </w:p>
        </w:tc>
      </w:tr>
      <w:tr w:rsidR="00276114" w:rsidRPr="00276114" w14:paraId="6BAF1C20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F0E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F62D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01A6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2D5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91D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798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535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54,07</w:t>
            </w:r>
          </w:p>
        </w:tc>
      </w:tr>
      <w:tr w:rsidR="00276114" w:rsidRPr="00276114" w14:paraId="335FDEB8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EA9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8B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2F6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iz proračuna koji im nije nadležan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12A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A6D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809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266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-100,00</w:t>
            </w:r>
          </w:p>
        </w:tc>
      </w:tr>
      <w:tr w:rsidR="00276114" w:rsidRPr="00276114" w14:paraId="1BBDB591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F87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828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AA58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iz proračuna koji im nije nadležan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AA0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856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4BD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352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-100,00</w:t>
            </w:r>
          </w:p>
        </w:tc>
      </w:tr>
      <w:tr w:rsidR="00276114" w:rsidRPr="00276114" w14:paraId="55AC3676" w14:textId="77777777" w:rsidTr="00276114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4F7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51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A46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proračunskim korisnicima proračuna JLP(R)S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A6C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169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E4C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D5A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-100,00</w:t>
            </w:r>
          </w:p>
        </w:tc>
      </w:tr>
      <w:tr w:rsidR="00276114" w:rsidRPr="00276114" w14:paraId="56296FB8" w14:textId="77777777" w:rsidTr="00276114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36D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6361207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C39F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807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proračunskim korisnicima proračuna JLP(R)S - POU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C0B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9BC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E77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412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-100,00</w:t>
            </w:r>
          </w:p>
        </w:tc>
      </w:tr>
      <w:tr w:rsidR="00276114" w:rsidRPr="00276114" w14:paraId="26F53DF8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D2DE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D2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1244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državnog proračuna temeljem prijenosa EU sredstava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E5E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940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D62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F7C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5FAB1E7D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715EE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263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4B1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temeljem prijenosa EU sredstava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4A60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E08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D5F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2C3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24DBFD56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84B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7A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B05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temeljem prijenosa EU sredstava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1D7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8E5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675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F52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5CEC8020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A51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6381124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6F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13C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temeljem prijenosa EU sredstava - POU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CF5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690C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BCA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8E4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0486455D" w14:textId="77777777" w:rsidTr="00276114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444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2C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D37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922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F46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C30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979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21,78</w:t>
            </w:r>
          </w:p>
        </w:tc>
      </w:tr>
      <w:tr w:rsidR="00276114" w:rsidRPr="00276114" w14:paraId="389E0950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BB8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37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ABE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7C9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093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64F5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E1D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21,78</w:t>
            </w:r>
          </w:p>
        </w:tc>
      </w:tr>
      <w:tr w:rsidR="00276114" w:rsidRPr="00276114" w14:paraId="19583680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26D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BB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644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Ostali nespomenuti prihodi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FCC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BB0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001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588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21,78</w:t>
            </w:r>
          </w:p>
        </w:tc>
      </w:tr>
      <w:tr w:rsidR="00276114" w:rsidRPr="00276114" w14:paraId="0D629BAD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8A1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A0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716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Sufinanciranje cijene usluge, participacije i slično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56D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B099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C83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D8D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21,78</w:t>
            </w:r>
          </w:p>
        </w:tc>
      </w:tr>
      <w:tr w:rsidR="00276114" w:rsidRPr="00276114" w14:paraId="7A8080CD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F5D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6526402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99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B88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Sufinanciranje cijene usluga,participacija i sl.-Pučko otvoreno učilište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01D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47A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159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8EA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21,78</w:t>
            </w:r>
          </w:p>
        </w:tc>
      </w:tr>
      <w:tr w:rsidR="00276114" w:rsidRPr="00276114" w14:paraId="6DD295C3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1F5A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25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D68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045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2FE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C65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F91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3,37</w:t>
            </w:r>
          </w:p>
        </w:tc>
      </w:tr>
      <w:tr w:rsidR="00276114" w:rsidRPr="00276114" w14:paraId="1C826F6E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5DF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305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C0B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4A3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4E2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B3A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581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3,43</w:t>
            </w:r>
          </w:p>
        </w:tc>
      </w:tr>
      <w:tr w:rsidR="00276114" w:rsidRPr="00276114" w14:paraId="7245C94A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993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AD0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659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856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9C5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6A3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F42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3,43</w:t>
            </w:r>
          </w:p>
        </w:tc>
      </w:tr>
      <w:tr w:rsidR="00276114" w:rsidRPr="00276114" w14:paraId="58730644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0F45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BFC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1CE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453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A47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BC9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235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3,43</w:t>
            </w:r>
          </w:p>
        </w:tc>
      </w:tr>
      <w:tr w:rsidR="00276114" w:rsidRPr="00276114" w14:paraId="20863717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3EF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6615102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330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239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pruženih usluga-Pučko otvoreno učilište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DFC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BEE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DBB7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EAF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3,43</w:t>
            </w:r>
          </w:p>
        </w:tc>
      </w:tr>
      <w:tr w:rsidR="00276114" w:rsidRPr="00276114" w14:paraId="667A031B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1EA8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00C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964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Donacije od pravnih i fizičkih osoba izvan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31E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69E5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31E9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889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4F812462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1A5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AC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461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AAE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5620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E20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805D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30BEF088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B113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7D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F6F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od neprofitnih organizacija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ABE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B9A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C2C1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E0B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45C540C3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4FA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6631208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12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0C94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od neprofitnih organizacija - Pučko otvoreno učilište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413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9E5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54D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586E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76114" w:rsidRPr="00276114" w14:paraId="18E67988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59A6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2D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655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EBD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0E1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9663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499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7,04</w:t>
            </w:r>
          </w:p>
        </w:tc>
      </w:tr>
      <w:tr w:rsidR="00276114" w:rsidRPr="00276114" w14:paraId="575C56CA" w14:textId="77777777" w:rsidTr="00276114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0F0D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BD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B3C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redovne djelatnosti proračunskih korisnika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9B02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5AA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1BC6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69F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7,04</w:t>
            </w:r>
          </w:p>
        </w:tc>
      </w:tr>
      <w:tr w:rsidR="00276114" w:rsidRPr="00276114" w14:paraId="56C633ED" w14:textId="77777777" w:rsidTr="0027611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5B6D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287B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E640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rashoda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10D8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286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D905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6F1B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7,04</w:t>
            </w:r>
          </w:p>
        </w:tc>
      </w:tr>
      <w:tr w:rsidR="00276114" w:rsidRPr="00276114" w14:paraId="0D59E790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F221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861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4A12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rashoda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57F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D795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26B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7EDF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7,04</w:t>
            </w:r>
          </w:p>
        </w:tc>
      </w:tr>
      <w:tr w:rsidR="00276114" w:rsidRPr="00276114" w14:paraId="25B2BCC0" w14:textId="77777777" w:rsidTr="0027611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3BC7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6711107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189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325C" w14:textId="77777777" w:rsidR="00276114" w:rsidRPr="00276114" w:rsidRDefault="00276114" w:rsidP="0027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rashoda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A1E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FFE4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9.984,62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AECA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151.794,62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3081" w14:textId="77777777" w:rsidR="00276114" w:rsidRPr="00276114" w:rsidRDefault="00276114" w:rsidP="00276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61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7,04</w:t>
            </w:r>
          </w:p>
        </w:tc>
      </w:tr>
    </w:tbl>
    <w:p w14:paraId="429CAD89" w14:textId="1ABF4A9A" w:rsidR="005C7A7A" w:rsidRDefault="005C7A7A"/>
    <w:p w14:paraId="379DA9DF" w14:textId="77777777" w:rsidR="005C7A7A" w:rsidRDefault="005C7A7A">
      <w:r>
        <w:br w:type="page"/>
      </w:r>
    </w:p>
    <w:tbl>
      <w:tblPr>
        <w:tblW w:w="15900" w:type="dxa"/>
        <w:tblLook w:val="04A0" w:firstRow="1" w:lastRow="0" w:firstColumn="1" w:lastColumn="0" w:noHBand="0" w:noVBand="1"/>
      </w:tblPr>
      <w:tblGrid>
        <w:gridCol w:w="1500"/>
        <w:gridCol w:w="1060"/>
        <w:gridCol w:w="5860"/>
        <w:gridCol w:w="2180"/>
        <w:gridCol w:w="2180"/>
        <w:gridCol w:w="40"/>
        <w:gridCol w:w="2140"/>
        <w:gridCol w:w="940"/>
      </w:tblGrid>
      <w:tr w:rsidR="005C7A7A" w:rsidRPr="005C7A7A" w14:paraId="13B70F63" w14:textId="77777777" w:rsidTr="005C7A7A">
        <w:trPr>
          <w:trHeight w:val="255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8872F" w14:textId="77777777" w:rsidR="005C7A7A" w:rsidRPr="005C7A7A" w:rsidRDefault="005C7A7A" w:rsidP="005C7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REBALANS</w:t>
            </w:r>
          </w:p>
        </w:tc>
      </w:tr>
      <w:tr w:rsidR="005C7A7A" w:rsidRPr="005C7A7A" w14:paraId="5CB267AD" w14:textId="77777777" w:rsidTr="005C7A7A">
        <w:trPr>
          <w:trHeight w:val="255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FF5C" w14:textId="77777777" w:rsidR="005C7A7A" w:rsidRPr="005C7A7A" w:rsidRDefault="005C7A7A" w:rsidP="005C7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 razdoblje od 1.1.2024 do 31.12.2024</w:t>
            </w:r>
          </w:p>
        </w:tc>
      </w:tr>
      <w:tr w:rsidR="005C7A7A" w:rsidRPr="005C7A7A" w14:paraId="1522A1C3" w14:textId="77777777" w:rsidTr="005C7A7A">
        <w:trPr>
          <w:trHeight w:val="375"/>
        </w:trPr>
        <w:tc>
          <w:tcPr>
            <w:tcW w:w="2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40506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59899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SVEUKUPNO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700173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88272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20.833,11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539CA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235.293,11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AE5C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7F95BE52" w14:textId="77777777" w:rsidTr="005C7A7A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A4835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4E8D3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Naziv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8C929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Planirano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9E1287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Povećanje/smanjenje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DDB17A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Novi plan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9265B9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Index</w:t>
            </w:r>
          </w:p>
        </w:tc>
      </w:tr>
      <w:tr w:rsidR="005C7A7A" w:rsidRPr="005C7A7A" w14:paraId="654FB6C7" w14:textId="77777777" w:rsidTr="005C7A7A">
        <w:trPr>
          <w:trHeight w:val="9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2EB34EA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RAZDJEL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2FDCD75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301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463E4F2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UPRAVNI ODJEL ZA ODGOJ, OBRAZOVANJE, KULTURU, SPORT, SOCIJALNU SKRB, NACIONALNE MANJINE I TURIZAM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5F6F01C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40A4FAA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20.833,11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142FAE3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235.293,11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283593"/>
            <w:hideMark/>
          </w:tcPr>
          <w:p w14:paraId="043AF82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46F44AAF" w14:textId="77777777" w:rsidTr="005C7A7A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3E23E7B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GLAVA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027DB8F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30104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2C2CBE6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KULTURA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4B907E5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014C683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20.833,11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6B46C2D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235.293,11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1976D2"/>
            <w:hideMark/>
          </w:tcPr>
          <w:p w14:paraId="14ACDF0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237BE321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4E1F83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BFB10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9B0CD0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EB76E2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E0A70E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6.435,00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199ABA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148.245,00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F5BE56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517EC9B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2C52C7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148F73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74145E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E23CD5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141.810,00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E8875D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6.435,00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41CA12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148.245,00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95F20E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756D807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80D2C2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C63904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2A227B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1DB6FE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A61B10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4.148,11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0D098B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D80133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2869C75B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4E72A0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34346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6E50FD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C9D6E0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E92712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4.148,11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30C065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F5C064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6883D7B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D11C7A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E25F49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12610D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C61C25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D69EF4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40C7FE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E9440B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1CB32650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4F67D0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F26C28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D01276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051986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54F5B4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06EEDF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AAD12B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7A658DF4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FD17C5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29CE98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8B8CA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4396E6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7.350,00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A4DBDA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371DE7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270BF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3A88DC6E" w14:textId="77777777" w:rsidTr="005C7A7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503C11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C12E46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BD1DA0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CA518E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4B8324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96D8C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AB9F21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73F856C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F7D48C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45D7B1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14907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9B7CF9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BA47F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0AD8DD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D28740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282B164E" w14:textId="77777777" w:rsidTr="005C7A7A">
        <w:trPr>
          <w:trHeight w:val="6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19271F5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PROGRAM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0CEAF67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3401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2CFD4E1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KULTURNO-OBRAZOVNA DJELATNOST - 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0CA926D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214.460,00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5044BEB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20.833,11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7854F8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235.293,11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42A5F5"/>
            <w:hideMark/>
          </w:tcPr>
          <w:p w14:paraId="6EBEC8D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9,71</w:t>
            </w:r>
          </w:p>
        </w:tc>
      </w:tr>
      <w:tr w:rsidR="005C7A7A" w:rsidRPr="005C7A7A" w14:paraId="7C181C15" w14:textId="77777777" w:rsidTr="005C7A7A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803651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Aktivnost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554AB48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A340101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2DFD1C6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REDOVNI RAD PUČKOG OTVORENOG UČILIŠTA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2366D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151.860,00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5D16DDB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13.535,00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5145C27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165.395,00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7C419C5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3349CCB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3FA475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38FBC3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C35054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918CA6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119.160,00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71A18F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6.435,00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F3C175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125.595,00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F574DA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562D625F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14051C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B8E982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86F43D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F897F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119.160,00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8E350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6.435,00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3A57B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125.595,00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E8F2FE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7D9CE36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623ABD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184C62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DB1A4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2F1313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9F9040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11CA1F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27D57C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5822DAC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6CCC12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81AF42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D16114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2A0B9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AF3FA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CEF382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04953D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6591AFE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C30563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56960B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6B01E4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D87574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C2CEAF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23E858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394912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0EA1AA2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1172CB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11BD1A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346FE0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58D72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30.300,00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E5EEB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A73924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EBF5EB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063CC96D" w14:textId="77777777" w:rsidTr="005C7A7A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6B08CCC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BA4630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C78E0A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44E8AC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151.860,00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42FE6A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CB0DBD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165.395,00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7EE263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7AA2875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5080BF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00C0443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B050BD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 kulture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BA4944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151.860,00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3D9EE6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4A9C4B4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165.395,00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90186F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8,91</w:t>
            </w:r>
          </w:p>
        </w:tc>
      </w:tr>
      <w:tr w:rsidR="005C7A7A" w:rsidRPr="005C7A7A" w14:paraId="13C2C75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F12D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E4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D51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A04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151.360,00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054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489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164.895,00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BF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8,94</w:t>
            </w:r>
          </w:p>
        </w:tc>
      </w:tr>
      <w:tr w:rsidR="005C7A7A" w:rsidRPr="005C7A7A" w14:paraId="47CCBC61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793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5E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98D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597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90.330,00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C5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49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95.765,00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1C3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6,02</w:t>
            </w:r>
          </w:p>
        </w:tc>
      </w:tr>
      <w:tr w:rsidR="005C7A7A" w:rsidRPr="005C7A7A" w14:paraId="109CEC3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B0E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0D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B4F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(Bruto)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CBD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7AE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004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64E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D9584F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4B2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CD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6E5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BCA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EDB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9B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3D0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6FF0FAA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095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94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A6C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056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0EB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7B9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74.100,00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31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E37FA0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BDC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7C8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9A0E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ACA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3.830,00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BB1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55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72AF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141,91</w:t>
            </w:r>
          </w:p>
        </w:tc>
      </w:tr>
      <w:tr w:rsidR="005C7A7A" w:rsidRPr="005C7A7A" w14:paraId="1F02D6B0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D68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E55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FD3B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C0E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3.830,00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C7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877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AA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141,91</w:t>
            </w:r>
          </w:p>
        </w:tc>
      </w:tr>
      <w:tr w:rsidR="005C7A7A" w:rsidRPr="005C7A7A" w14:paraId="003142E8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F1B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97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81F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2A1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845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235,00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30A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883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88,68</w:t>
            </w:r>
          </w:p>
        </w:tc>
      </w:tr>
      <w:tr w:rsidR="005C7A7A" w:rsidRPr="005C7A7A" w14:paraId="1CB3BBE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761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9A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243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Darovi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175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665,00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727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0D1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D3F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67A841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2D5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53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9CF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bolest, invalidnost i smrtni slučaj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D21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D46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67C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E00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0C62BEDB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CAF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FA3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873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Regres za godišnji odmor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3F4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390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16B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3B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079542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0824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91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F6B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nenavedeni rashodi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530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01E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8B44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1A0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</w:tr>
      <w:tr w:rsidR="005C7A7A" w:rsidRPr="005C7A7A" w14:paraId="4E36E60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C6B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C9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EEA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na plaće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502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EFA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4FB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A64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46620C4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63C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81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D87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095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A8A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B1C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334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7D93FA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A21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4B7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EE3A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6C3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443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65C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F9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85B5C8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929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E7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51B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8D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60.880,00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89B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CDC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68.980,00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6AD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13,30</w:t>
            </w:r>
          </w:p>
        </w:tc>
      </w:tr>
      <w:tr w:rsidR="005C7A7A" w:rsidRPr="005C7A7A" w14:paraId="7C67006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826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D2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FDE2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941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5.720,00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489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785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16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26,22</w:t>
            </w:r>
          </w:p>
        </w:tc>
      </w:tr>
      <w:tr w:rsidR="005C7A7A" w:rsidRPr="005C7A7A" w14:paraId="350FCE9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768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3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519F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70C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FCB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610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29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5C7A7A" w:rsidRPr="005C7A7A" w14:paraId="73EAB32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B49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BB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B86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Dnevnice za službeni put u zemlji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48B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68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FBA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07E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760503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E79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94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6BD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 na službenom putu u zemlji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E54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938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E36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EC0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E271F0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2F3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082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CDE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 za službena putovanja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16C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98A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EA2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DB0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D399D5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DD7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894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619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3D1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4CF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5C6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C06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8E92A5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B4E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94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5A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 na posao i s posla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CC0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463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600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22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54E462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372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DFA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1FF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7B8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EF5C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F0A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AE8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192,31</w:t>
            </w:r>
          </w:p>
        </w:tc>
      </w:tr>
      <w:tr w:rsidR="005C7A7A" w:rsidRPr="005C7A7A" w14:paraId="37220C5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53D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ED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006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Seminari, savjetovanja i simpoziji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B31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BDE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BEA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CD7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192,31</w:t>
            </w:r>
          </w:p>
        </w:tc>
      </w:tr>
      <w:tr w:rsidR="005C7A7A" w:rsidRPr="005C7A7A" w14:paraId="69432D42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55F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D1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A41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51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86F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092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D8F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F6A263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194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FD5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6A5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Naknada za korištenje privatnog automobila u službene svrhe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4C5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C99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104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41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1F2411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EC9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F5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42E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FA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248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35B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16.280,00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7B6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7,25</w:t>
            </w:r>
          </w:p>
        </w:tc>
      </w:tr>
      <w:tr w:rsidR="005C7A7A" w:rsidRPr="005C7A7A" w14:paraId="649228A8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0D1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CF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152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E6F8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2.230,00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74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CBC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C80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26,91</w:t>
            </w:r>
          </w:p>
        </w:tc>
      </w:tr>
      <w:tr w:rsidR="005C7A7A" w:rsidRPr="005C7A7A" w14:paraId="558EE23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ACF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EB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A50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Uredski materijal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2F7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DE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CD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BDE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B22855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502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1C7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D61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Literatura (publikacije, časopisi, glasila, knjige i ostalo)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A1F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85B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1A3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B4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5867D00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724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FA2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29A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 i sredstva za čišćenje i održavanje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947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38B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0F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F72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23E558AC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21F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C8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2CA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materijal za potrebe redovnog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F8C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40E3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FE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BB8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20,83</w:t>
            </w:r>
          </w:p>
        </w:tc>
      </w:tr>
      <w:tr w:rsidR="005C7A7A" w:rsidRPr="005C7A7A" w14:paraId="5BC2894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8E6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AE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D37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B27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02C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6E4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23D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2C93469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6B8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5D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EBF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Električna energija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A2A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8E9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44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2E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BFF3BAD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809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ED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C61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0F7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31C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5CF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0FA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822343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5D0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EB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CCA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Sitni inventar i auto gume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42A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5FD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F29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F7E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55,56</w:t>
            </w:r>
          </w:p>
        </w:tc>
      </w:tr>
      <w:tr w:rsidR="005C7A7A" w:rsidRPr="005C7A7A" w14:paraId="000DB1C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D1C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18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421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Sitni inventar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74F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6D2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BAF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291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55,56</w:t>
            </w:r>
          </w:p>
        </w:tc>
      </w:tr>
      <w:tr w:rsidR="005C7A7A" w:rsidRPr="005C7A7A" w14:paraId="14E7618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BEE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E38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EB2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645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38.430,00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BB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57D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43.830,00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823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14,05</w:t>
            </w:r>
          </w:p>
        </w:tc>
      </w:tr>
      <w:tr w:rsidR="005C7A7A" w:rsidRPr="005C7A7A" w14:paraId="4C0F7F3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35B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D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2A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98D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A35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E04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BD7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BC539C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B28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CD4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C30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telefona, telefaksa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15B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31C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45E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DD9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B79CF69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639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DC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2C9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Poštarina (pisma, tiskanice i sl.)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831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60C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6E1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19E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4B7C59C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E6F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97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DB2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19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1FF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010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292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20,00</w:t>
            </w:r>
          </w:p>
        </w:tc>
      </w:tr>
      <w:tr w:rsidR="005C7A7A" w:rsidRPr="005C7A7A" w14:paraId="64B905D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E8F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DF7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9CD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održavanja postrojenja i opreme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8CB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338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97B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2C1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25,00</w:t>
            </w:r>
          </w:p>
        </w:tc>
      </w:tr>
      <w:tr w:rsidR="005C7A7A" w:rsidRPr="005C7A7A" w14:paraId="5ECFA805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D0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F2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799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usluge tekućeg i investicijskog održavanja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48D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AE3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01E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AC3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FF605B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A7F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0D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409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F4E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8BD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F1A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5EA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FAFF15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AD1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3F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41C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Promidžbeni materijali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E5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7B2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861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B6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838046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C50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EF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9AB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6DA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F14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6D1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D09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9B6475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AB3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DD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300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Opskrba vodom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FD0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9F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A6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3E7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0365B6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25A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F5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C6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Iznošenje i odvoz smeća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266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13D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FCB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E7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BB37E6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D27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AB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365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Dimnjačarske i ekološke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7F9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0D6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668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829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45A744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064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82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9ED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7FA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3D2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9A3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636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10,67</w:t>
            </w:r>
          </w:p>
        </w:tc>
      </w:tr>
      <w:tr w:rsidR="005C7A7A" w:rsidRPr="005C7A7A" w14:paraId="0E03231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01F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F3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E7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Zakupnine i najamnine za opremu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D88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56A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697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6B5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890FCF0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7A4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7B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6C9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Licence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B64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833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5D2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4CE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190,48</w:t>
            </w:r>
          </w:p>
        </w:tc>
      </w:tr>
      <w:tr w:rsidR="005C7A7A" w:rsidRPr="005C7A7A" w14:paraId="070E5C4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38A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85F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25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 zakupnine i najamnine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926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3.240,00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0C7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76D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C30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02D854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D1E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68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77B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0B7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8A0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3E8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F1F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FCDCD73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ACC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F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6D7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 i preventivni zdravstveni pregledi zaposlenika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391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EC2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174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904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59CC8E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ABB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62F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8A6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6D4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0B2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243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3E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21,05</w:t>
            </w:r>
          </w:p>
        </w:tc>
      </w:tr>
      <w:tr w:rsidR="005C7A7A" w:rsidRPr="005C7A7A" w14:paraId="39A2801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93A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8F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36A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Autorski honorari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8F3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160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189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215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25,00</w:t>
            </w:r>
          </w:p>
        </w:tc>
      </w:tr>
      <w:tr w:rsidR="005C7A7A" w:rsidRPr="005C7A7A" w14:paraId="698DC30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9D3A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52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21B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Ugovori o djelu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D18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16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A26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3981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18,18</w:t>
            </w:r>
          </w:p>
        </w:tc>
      </w:tr>
      <w:tr w:rsidR="005C7A7A" w:rsidRPr="005C7A7A" w14:paraId="047C37F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D13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32377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E80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335E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agencija, studentskog servisa (prijepisi, prijevodi i drugo)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641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B46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5D32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E71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5C7A7A" w:rsidRPr="005C7A7A" w14:paraId="1814E80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C2FA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46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067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921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6EA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5D7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01F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6,45</w:t>
            </w:r>
          </w:p>
        </w:tc>
      </w:tr>
      <w:tr w:rsidR="005C7A7A" w:rsidRPr="005C7A7A" w14:paraId="05A3AF9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395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46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B5D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razvoja software-a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713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4E7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6FF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169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18,18</w:t>
            </w:r>
          </w:p>
        </w:tc>
      </w:tr>
      <w:tr w:rsidR="005C7A7A" w:rsidRPr="005C7A7A" w14:paraId="1EA595B9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F1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881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C6E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računalne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B538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5AC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234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4DBE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F0AEEFC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9B7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C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1A2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5D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15.380,00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0F5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24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7AF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4,55</w:t>
            </w:r>
          </w:p>
        </w:tc>
      </w:tr>
      <w:tr w:rsidR="005C7A7A" w:rsidRPr="005C7A7A" w14:paraId="267769CC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F53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2C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2A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Grafičke i tiskarske usluge, usluge kopiranja i uvezivanja i slično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B2D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EDE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283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489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5C7A7A" w:rsidRPr="005C7A7A" w14:paraId="1EF902D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74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D3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2A5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Film i izrada fotografija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8B1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E29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E67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0F0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237E290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CBA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55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B05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čišćenja, pranja i slično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068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CFC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706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924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3ED3CB0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A0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7F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431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nespomenute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DE0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BB1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52C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36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009905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23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1D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ADC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12A8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F76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18C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A0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F7B8E0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339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DD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EF2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ED3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DB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93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027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B779312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C97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32411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21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CCE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službenog puta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155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4B8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F72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C5CF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2F970F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18D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15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F23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D3C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FC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066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2CE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6,90</w:t>
            </w:r>
          </w:p>
        </w:tc>
      </w:tr>
      <w:tr w:rsidR="005C7A7A" w:rsidRPr="005C7A7A" w14:paraId="7C96684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962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6C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AB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91E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B47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40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FD7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03AC7F1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F4D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B3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C75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Premije osiguranja ostale imovine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0BB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92D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469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3A12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9544C1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097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2A4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32D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749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C8E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619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2D5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8652AC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CC9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76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8E5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89F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65B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75B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1C4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6DD7F4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1E9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2B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F91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2DE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2B2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D1F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8CD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789C63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8D9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95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35D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Tuzemne članarine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5B4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F13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40B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B0D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EF4DE6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679A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16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8AE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Pristojbe i naknade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2D2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548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3249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D69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16,67</w:t>
            </w:r>
          </w:p>
        </w:tc>
      </w:tr>
      <w:tr w:rsidR="005C7A7A" w:rsidRPr="005C7A7A" w14:paraId="67983844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122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0C6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E2B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Javnobilježničke pristojbe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8D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B3D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B3F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FBE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5C7A7A" w:rsidRPr="005C7A7A" w14:paraId="514A6FC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76F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FCD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772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pristojbe i naknade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47A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5AE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9D2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821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0D78A7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5E6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9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31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C0C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E73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CB8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A36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0163270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240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BD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E87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CC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B56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43B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EE5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079CBA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C58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D4B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560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8F6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5C9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23A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E31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66D8FC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D23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F24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678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platnog prometa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7D8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B6C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FCB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94B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CECADBD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372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E08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787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CD9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071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1DC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0AE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B65822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19B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EE4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0CD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EDD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71D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9D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3B7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15E706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975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AC9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CBD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Postrojenja i oprema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CC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739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6E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888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78A9C69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D77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4F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6F1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3E5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5A0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A08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516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BCF63A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F204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C6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444F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Računala i računalna oprema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6A4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FD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7F6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745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4DDA43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F2E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EC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1A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E0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4B5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608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7C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F5E88BD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E49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D2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026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Oprema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550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995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21E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747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20C3B4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AB8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C7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A1C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505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517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ABC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F82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321F0B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BCE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CF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DA4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1E3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468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2F4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203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F4985B9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3C9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35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57E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DD7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AA1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68F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693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2829DC8" w14:textId="77777777" w:rsidTr="005C7A7A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229BF82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Aktivnost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548ACF5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A340105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C4250F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KINO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72A062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48.500,00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23BC7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3.648,11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A5CEF0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52.148,11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A4B36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4176A32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7EBE1C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F41DDF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CEC658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400CDD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DE6192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F60022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13E635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43E4F9D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F5EDE9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58F5B7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7B4DF0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0DD51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587F2C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B79451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65B33F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4E2DF423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252BED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B71493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41221B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6A42A7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32.500,00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2FD1D6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3.648,11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35D9E8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99898E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260A1B7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3FBBAF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B4107F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8DBBE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12E461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32.500,00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744B5E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3.648,11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2024F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DB3CE9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421A7880" w14:textId="77777777" w:rsidTr="005C7A7A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6CCBF07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66D47EA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10B0DA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2017A2B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5CA71F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0283FA0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C1A903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21E9F28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0C8DA90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19A6C4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0C38A78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 kulture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747EAC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AB8CD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EB19AC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E8B528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5FD6AF75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73E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5A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3B2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9DE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1BDB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14C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52.148,11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2DD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7,52</w:t>
            </w:r>
          </w:p>
        </w:tc>
      </w:tr>
      <w:tr w:rsidR="005C7A7A" w:rsidRPr="005C7A7A" w14:paraId="6D44ED03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077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35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408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397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47.700,00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39AD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F6D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51.348,11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233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7,65</w:t>
            </w:r>
          </w:p>
        </w:tc>
      </w:tr>
      <w:tr w:rsidR="005C7A7A" w:rsidRPr="005C7A7A" w14:paraId="5F29670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8BD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BC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774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19B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48E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30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6DA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13CC9B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FB9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C8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946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B2F3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941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102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FF9B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A6FE92F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17B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F9A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AB7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materijal za potrebe redovnog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A9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BF6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2CC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F3D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1E9BAE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74A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4C6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1EA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DA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46.610,00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3C4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3C5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49.858,11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1AA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6,97</w:t>
            </w:r>
          </w:p>
        </w:tc>
      </w:tr>
      <w:tr w:rsidR="005C7A7A" w:rsidRPr="005C7A7A" w14:paraId="53610D4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FC8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62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B50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658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8C5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A4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194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60,00</w:t>
            </w:r>
          </w:p>
        </w:tc>
      </w:tr>
      <w:tr w:rsidR="005C7A7A" w:rsidRPr="005C7A7A" w14:paraId="3BDB1F5A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7AED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71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84B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Poštarina (pisma, tiskanice i sl.)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620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82D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B6E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F5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60,00</w:t>
            </w:r>
          </w:p>
        </w:tc>
      </w:tr>
      <w:tr w:rsidR="005C7A7A" w:rsidRPr="005C7A7A" w14:paraId="43D69DF4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A40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C5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272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1FA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28.110,00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8E3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4BB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31.058,11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6C4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10,49</w:t>
            </w:r>
          </w:p>
        </w:tc>
      </w:tr>
      <w:tr w:rsidR="005C7A7A" w:rsidRPr="005C7A7A" w14:paraId="76CAB4B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772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E10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4C1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Zakupnine i najamnine za opremu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EEE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6.110,00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4C3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004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6.110,00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06D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8B85741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28D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30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729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 zakupnine i najamnine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C5A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47E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2.948,11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47E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24.948,11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0F2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13,40</w:t>
            </w:r>
          </w:p>
        </w:tc>
      </w:tr>
      <w:tr w:rsidR="005C7A7A" w:rsidRPr="005C7A7A" w14:paraId="497BC8C9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328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3DA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37D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283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C29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DD0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000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C5B2FC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A25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70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8B6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nespomenute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83F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F9B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AAE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60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83679E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D2F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0F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50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C1C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8C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BDE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EB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54,05</w:t>
            </w:r>
          </w:p>
        </w:tc>
      </w:tr>
      <w:tr w:rsidR="005C7A7A" w:rsidRPr="005C7A7A" w14:paraId="1559B20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6C6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A9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1F4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059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87A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55F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2E1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41,67</w:t>
            </w:r>
          </w:p>
        </w:tc>
      </w:tr>
      <w:tr w:rsidR="005C7A7A" w:rsidRPr="005C7A7A" w14:paraId="2893D49D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7A4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D8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A27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Tuzemne članarine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B6A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FA9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F38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744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41,67</w:t>
            </w:r>
          </w:p>
        </w:tc>
      </w:tr>
      <w:tr w:rsidR="005C7A7A" w:rsidRPr="005C7A7A" w14:paraId="60AEC50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63A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B91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827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Pristojbe i naknade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30B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53A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A9E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DF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60,00</w:t>
            </w:r>
          </w:p>
        </w:tc>
      </w:tr>
      <w:tr w:rsidR="005C7A7A" w:rsidRPr="005C7A7A" w14:paraId="667E317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D8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CE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BA9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pristojbe i naknade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F2A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AD6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611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095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60,00</w:t>
            </w:r>
          </w:p>
        </w:tc>
      </w:tr>
      <w:tr w:rsidR="005C7A7A" w:rsidRPr="005C7A7A" w14:paraId="76065F09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85A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FA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330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D1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869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7D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D9C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E473FE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E1D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6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A4F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EA5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492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E5D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057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55C8897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72F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3434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27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084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47B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DD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E8B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C70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717E21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901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B7D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AC1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6BBC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F36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60A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B7C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7DB5515" w14:textId="77777777" w:rsidTr="005C7A7A">
        <w:trPr>
          <w:trHeight w:val="6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A4AAC2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DBA6B4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K340107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3B2048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UREĐENJE PODRUMSKE DVORANE HRVATSKOG DOMA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F641C9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EAA72A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7BFD2C4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A99C30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7B5E4B62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45BDE4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36BD10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A3E645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69C27F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FB4DCD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889A00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2CC86D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2B52BB1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B7EE7E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E93C96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6A28D0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509DF5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6CA38F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6F746B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76010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648A722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FDF910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ECBC4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A3F936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407F7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09F318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63BF1C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4B6D15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06E4E5E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E49A00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98C00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AF9736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ECCD80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389A6B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2CDB0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7FE6E9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574062C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6559DD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D95651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1755478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DA6DEA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5B7FB1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E278B9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E225C6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54F93A7C" w14:textId="77777777" w:rsidTr="005C7A7A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C1ACB2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AEF927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3D2EB8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DRUGIH PRORAČUNA TE OSTALIH SUBJEKATA UNUTAR OPĆEG PRORAČUNA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DA1422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E74866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755C19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FEF937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</w:tr>
      <w:tr w:rsidR="005C7A7A" w:rsidRPr="005C7A7A" w14:paraId="6EFEC469" w14:textId="77777777" w:rsidTr="005C7A7A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845836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DD011B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5245666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B75BEE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F2A779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B39DDF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60593A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02816E31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EC1E05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EC733C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B19530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 kulture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0592D3D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CD59D9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A0BBCC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0F5672D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42E76A87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027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06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ADD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35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74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1CC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1D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249F14A2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8C8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F9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C96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820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524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8B2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CF0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0E639A9E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585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615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08E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C99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EA5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094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D40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22E070C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53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CA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3C6B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CA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9DC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D6F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CA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1004FC9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6C1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746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B3E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održavanja građevinskih objekata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CE9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BA3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-6.750,00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D8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B8B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-50,00</w:t>
            </w:r>
          </w:p>
        </w:tc>
      </w:tr>
      <w:tr w:rsidR="005C7A7A" w:rsidRPr="005C7A7A" w14:paraId="20BD9189" w14:textId="77777777" w:rsidTr="005C7A7A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2A5A559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Aktivnost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6915E0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A340109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71D2631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RUKE – RECIKLIRAM, UČIM, KREIRAM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2F30CDB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7E5197B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B3608F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0302E2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EDE250B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384F41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E94CD2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D8E3C5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4AE794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4705DC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5C9ACB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34F324F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196508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B4006D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42542D7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2611EA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2E0A54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0F31AE1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FF0C0F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2285D7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5CD02F2" w14:textId="77777777" w:rsidTr="005C7A7A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2E9B607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9D1B6E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D61F8A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528C345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67C0F7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0E2BF2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45CD734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79E251B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4F7040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362AC8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1B80A5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 kulture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15B35F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1332EDC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3D7932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0340B3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EB37EB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292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1E7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0F9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71C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2D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70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C0B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2492FED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738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F2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5C3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BBC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FA4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AEB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615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DE1961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664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B3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ACD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(Bruto)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737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9C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A67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79C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D3313C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B3F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8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1E5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062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435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EC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FF1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5CA55BD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9D8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54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A5F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zaposlene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4BF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E4A2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901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430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FA8A2B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E03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74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D06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na plaće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44B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913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02E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4C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39EDF5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56F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3132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D3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018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510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FBB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7F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6AB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2781763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61D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01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E84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C9C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E89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575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D1A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B4BF617" w14:textId="77777777" w:rsidTr="005C7A7A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4426066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Aktivnost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01CFBA2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A340110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924B71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ERASMUS+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308FE5A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1B6A771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5E684A8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BDEFB"/>
            <w:hideMark/>
          </w:tcPr>
          <w:p w14:paraId="620029A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11188B10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C2CB03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0970077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29DC2F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7F186E8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675580D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563BC64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082"/>
            <w:hideMark/>
          </w:tcPr>
          <w:p w14:paraId="4E32E21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B8FF8AC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759B9E3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6E11365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55E6E6A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EU PRORAČUNSKIM KORISNICIMA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32BEA50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56CD290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17ABA93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14:paraId="2F877B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0E4112E" w14:textId="77777777" w:rsidTr="005C7A7A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5D43E80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12A2772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9380966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PUČKO OTVORENO UČILIŠTE KRIŽEVCI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15CD3E6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DDF158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249093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5D6A7"/>
            <w:hideMark/>
          </w:tcPr>
          <w:p w14:paraId="76F49AD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9DBBB93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873CFA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3DF3020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2EA0B84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 kulture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6C971E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5924628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63E5595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EE"/>
            <w:hideMark/>
          </w:tcPr>
          <w:p w14:paraId="70A15F8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30327F8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F34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FC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485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A57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B64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7DE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F4A5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7D2CF22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409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A0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579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380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A41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718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34F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69B812A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35A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14D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A1F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3B4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948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92B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E70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27704C3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FEE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05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DE3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555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E73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7.920,00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052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7.920,00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460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BF39625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94D8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A7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EED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Dnevnice za službeni put u inozemstvu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035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457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6.142,00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D16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6.142,00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6C6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25F5C188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EFA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D7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687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smještaj na službenom putu u inozemstvu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7D5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0E4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889,00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AE6E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6B2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99C7A62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518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63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1F2E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 na službenom putu u inozemstvu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FA94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FBE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889,00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65D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285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F5118FF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F28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7E5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ABE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4B42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0A9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2.080,00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97CD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75DB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310D02C1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983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54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A514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Seminari, savjetovanja i simpoziji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B36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46A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2.080,00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D63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58D7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67EE0907" w14:textId="77777777" w:rsidTr="005C7A7A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6700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06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69D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07D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CB06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920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2D3A3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0E1A2AD6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3247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461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04C3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772C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8DA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221F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F308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5C7A7A" w:rsidRPr="005C7A7A" w14:paraId="4B8779EE" w14:textId="77777777" w:rsidTr="005C7A7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1EAC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7889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8079F" w14:textId="77777777" w:rsidR="005C7A7A" w:rsidRPr="005C7A7A" w:rsidRDefault="005C7A7A" w:rsidP="005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nespomenute usluge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2F29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0DEA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9191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22D10" w14:textId="77777777" w:rsidR="005C7A7A" w:rsidRPr="005C7A7A" w:rsidRDefault="005C7A7A" w:rsidP="005C7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7A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0D769F05" w14:textId="5D54F655" w:rsidR="0032617A" w:rsidRDefault="0032617A"/>
    <w:p w14:paraId="1F7AF159" w14:textId="77777777" w:rsidR="0032617A" w:rsidRDefault="0032617A">
      <w:r>
        <w:br w:type="page"/>
      </w:r>
    </w:p>
    <w:p w14:paraId="4088A974" w14:textId="77777777" w:rsidR="009E78BA" w:rsidRDefault="009E78BA">
      <w:pPr>
        <w:sectPr w:rsidR="009E78BA" w:rsidSect="002761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9E78BA" w:rsidRPr="00A109F1" w14:paraId="165E0D40" w14:textId="77777777" w:rsidTr="00BC1B87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55D98F5F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lastRenderedPageBreak/>
              <w:t>P</w:t>
            </w:r>
            <w:r w:rsidRPr="009F1447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UČKO OTVORENO UČILIŠTE KRIŽEVCI</w:t>
            </w:r>
          </w:p>
        </w:tc>
      </w:tr>
      <w:tr w:rsidR="009E78BA" w:rsidRPr="00A109F1" w14:paraId="7504D8D9" w14:textId="77777777" w:rsidTr="00BC1B87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312F0CA5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 w:rsidRPr="00613FF8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OBRAZLOŽENJE 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1. IZMJENA I DOPUNA </w:t>
            </w:r>
            <w:r w:rsidRPr="00613FF8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OPĆEG DIJELA FINANCIJSKOG PLANA ZA 202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4</w:t>
            </w:r>
            <w:r w:rsidRPr="00613FF8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. GODINU</w:t>
            </w:r>
          </w:p>
        </w:tc>
      </w:tr>
      <w:tr w:rsidR="009E78BA" w:rsidRPr="00A109F1" w14:paraId="59C8E65C" w14:textId="77777777" w:rsidTr="00BC1B87">
        <w:trPr>
          <w:trHeight w:val="454"/>
        </w:trPr>
        <w:tc>
          <w:tcPr>
            <w:tcW w:w="9160" w:type="dxa"/>
            <w:shd w:val="clear" w:color="auto" w:fill="auto"/>
            <w:noWrap/>
            <w:vAlign w:val="center"/>
            <w:hideMark/>
          </w:tcPr>
          <w:p w14:paraId="560004E7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26"/>
                <w:szCs w:val="26"/>
                <w:lang w:eastAsia="hr-HR"/>
              </w:rPr>
            </w:pPr>
          </w:p>
        </w:tc>
      </w:tr>
    </w:tbl>
    <w:p w14:paraId="0B3A4C77" w14:textId="77777777" w:rsidR="009E78BA" w:rsidRPr="00A109F1" w:rsidRDefault="009E78BA" w:rsidP="009E78BA">
      <w:pPr>
        <w:spacing w:after="0" w:line="240" w:lineRule="auto"/>
        <w:rPr>
          <w:rFonts w:cstheme="minorHAnsi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E78BA" w:rsidRPr="00A109F1" w14:paraId="0AB8D7CB" w14:textId="77777777" w:rsidTr="00BC1B87">
        <w:trPr>
          <w:trHeight w:val="20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941A11" w14:textId="77777777" w:rsidR="009E78BA" w:rsidRPr="007B4B0D" w:rsidRDefault="009E78BA" w:rsidP="00BC1B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B4B0D">
              <w:rPr>
                <w:rFonts w:eastAsia="Times New Roman" w:cstheme="minorHAnsi"/>
                <w:b/>
                <w:bCs/>
                <w:lang w:eastAsia="hr-HR"/>
              </w:rPr>
              <w:t>1. Obrazloženje prihoda poslovanja</w:t>
            </w:r>
          </w:p>
        </w:tc>
      </w:tr>
      <w:tr w:rsidR="009E78BA" w:rsidRPr="00A109F1" w14:paraId="7FA7D35B" w14:textId="77777777" w:rsidTr="00BC1B87">
        <w:trPr>
          <w:trHeight w:val="21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4383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  <w:r w:rsidRPr="008F49DE">
              <w:rPr>
                <w:rFonts w:eastAsia="Times New Roman" w:cstheme="minorHAnsi"/>
                <w:lang w:eastAsia="hr-HR"/>
              </w:rPr>
              <w:t xml:space="preserve">Prihodi </w:t>
            </w:r>
            <w:r>
              <w:rPr>
                <w:rFonts w:eastAsia="Times New Roman" w:cstheme="minorHAnsi"/>
                <w:lang w:eastAsia="hr-HR"/>
              </w:rPr>
              <w:t xml:space="preserve">poslovanja </w:t>
            </w:r>
            <w:r w:rsidRPr="008F49DE">
              <w:rPr>
                <w:rFonts w:eastAsia="Times New Roman" w:cstheme="minorHAnsi"/>
                <w:lang w:eastAsia="hr-HR"/>
              </w:rPr>
              <w:t>Pučkog otvorenog učilišta</w:t>
            </w:r>
            <w:r>
              <w:rPr>
                <w:rFonts w:eastAsia="Times New Roman" w:cstheme="minorHAnsi"/>
                <w:lang w:eastAsia="hr-HR"/>
              </w:rPr>
              <w:t xml:space="preserve"> za 2024. godinu</w:t>
            </w:r>
            <w:r w:rsidRPr="008F49DE">
              <w:rPr>
                <w:rFonts w:eastAsia="Times New Roman" w:cstheme="minorHAnsi"/>
                <w:lang w:eastAsia="hr-HR"/>
              </w:rPr>
              <w:t xml:space="preserve"> planirani u ukupnom iznosu od </w:t>
            </w:r>
            <w:r>
              <w:rPr>
                <w:rFonts w:eastAsia="Times New Roman" w:cstheme="minorHAnsi"/>
                <w:lang w:eastAsia="hr-HR"/>
              </w:rPr>
              <w:t xml:space="preserve"> 214.460,00 eura, ovom izmjenama i dopunama povećavaju se za 21.434,62 eura i sada iznose ukupno 235.864,62 eura.</w:t>
            </w:r>
          </w:p>
          <w:p w14:paraId="2C99DE58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Smanjenje na kontu 6361207 u iznosu od 6.750,00 eura odnosi se na sredstva Ministarstva kulture koja nam nisu odobrena. Uvećanje na kontu 6381124 u iznosu od 10.400,00 eura odnosi se na prihode od odobrenog projekta Erasmus+, pod nazivom HarmonyHub.</w:t>
            </w:r>
          </w:p>
          <w:p w14:paraId="25F3A339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Prihodi skupine konta 66 Prihodi od prodaje proizvoda i robe te pruženih usluga i prihoda od donacija povećani su sa 35.600,00, na 36.800,00 eura.  </w:t>
            </w:r>
          </w:p>
          <w:p w14:paraId="0EC97F9A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Ova skupina prihoda sastoji se od prihoda iz izvora 21 Vlastiti prihodi koji su uvećani za 1.200,00 eura i sada iznose 36.200,00 eura. Povećanje se odnosi na prihode od obrazovanja odraslih zbog većeg broja programa i time većeg broja polaznika. </w:t>
            </w:r>
          </w:p>
          <w:p w14:paraId="6330EBC5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Tekuće donacije nisu se mijenjale, a sredstva će biti utrošena strogo namjenski. </w:t>
            </w:r>
          </w:p>
          <w:p w14:paraId="66D1C094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Prihodi iz izvora 45 Pomoći EU proračunskim korisnicima uvećani su i sada iznose 10.400,00 eura. Čine ih sredstva za provedbu projekta Erasmus+: HarmonyHub. </w:t>
            </w:r>
          </w:p>
          <w:p w14:paraId="17D5C9B5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Prihodi konta 67 Prihodi iz nadležnog proračuna i od HZZO-a temeljem ugovornih obveza iz izvora 11 Opći prihodi i primici sa 141.910,00 eura, povećavaju se ukupno za 9.984,62 eura i sada iznose 151.794,62 eura. Povećanje se odnosi na rashode za zaposlene i ostala materijalna prava zaposlenih, za usluge tekućeg i investicijskog održavanja opreme Hrvatskog doma ,te usklađenje s ostvarenim troškovima u realizaciji programa Ljetnog kina.</w:t>
            </w:r>
          </w:p>
        </w:tc>
      </w:tr>
      <w:tr w:rsidR="009E78BA" w:rsidRPr="00A109F1" w14:paraId="7664FF60" w14:textId="77777777" w:rsidTr="00BC1B87">
        <w:trPr>
          <w:trHeight w:val="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4644982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FC9">
              <w:rPr>
                <w:rFonts w:eastAsia="Times New Roman" w:cstheme="minorHAnsi"/>
                <w:b/>
                <w:bCs/>
                <w:lang w:eastAsia="hr-HR"/>
              </w:rPr>
              <w:t xml:space="preserve">2. Obrazloženje rashoda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poslovanja</w:t>
            </w:r>
          </w:p>
        </w:tc>
      </w:tr>
      <w:tr w:rsidR="009E78BA" w:rsidRPr="00A109F1" w14:paraId="27F7F0A8" w14:textId="77777777" w:rsidTr="00BC1B87">
        <w:trPr>
          <w:trHeight w:val="21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0F72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4CAB4EC5" w14:textId="77777777" w:rsidR="009E78BA" w:rsidRPr="00125E1B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Ukupni rashodi Pučkog otvorenog učilišta Križevci za 2024. godinu planirani su u iznosu od 214.460,00 eura, ovim izmjenama i dopunama uvećavaju se za 20.833,11 eura i sada iznose 235.293,11 eura. Sastoje se od rashoda poslovanja i rashoda za nabavu nefinancijske imovine.</w:t>
            </w:r>
          </w:p>
          <w:p w14:paraId="62F9CAE8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23EA2357" w14:textId="77777777" w:rsidR="009E78BA" w:rsidRPr="00125E1B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>Rashode poslovanja čin</w:t>
            </w:r>
            <w:r>
              <w:rPr>
                <w:rFonts w:eastAsia="Times New Roman" w:cstheme="minorHAnsi"/>
                <w:lang w:eastAsia="hr-HR"/>
              </w:rPr>
              <w:t>i</w:t>
            </w:r>
            <w:r w:rsidRPr="00125E1B">
              <w:rPr>
                <w:rFonts w:eastAsia="Times New Roman" w:cstheme="minorHAnsi"/>
                <w:lang w:eastAsia="hr-HR"/>
              </w:rPr>
              <w:t xml:space="preserve"> skupina</w:t>
            </w:r>
            <w:r>
              <w:rPr>
                <w:rFonts w:eastAsia="Times New Roman" w:cstheme="minorHAnsi"/>
                <w:lang w:eastAsia="hr-HR"/>
              </w:rPr>
              <w:t xml:space="preserve"> konta</w:t>
            </w:r>
            <w:r w:rsidRPr="00125E1B">
              <w:rPr>
                <w:rFonts w:eastAsia="Times New Roman" w:cstheme="minorHAnsi"/>
                <w:lang w:eastAsia="hr-HR"/>
              </w:rPr>
              <w:t xml:space="preserve"> 31 Rashodi za zaposlene u iznosu od </w:t>
            </w:r>
            <w:r>
              <w:rPr>
                <w:rFonts w:eastAsia="Times New Roman" w:cstheme="minorHAnsi"/>
                <w:lang w:eastAsia="hr-HR"/>
              </w:rPr>
              <w:t>95.765,00</w:t>
            </w:r>
            <w:r w:rsidRPr="00125E1B">
              <w:rPr>
                <w:rFonts w:eastAsia="Times New Roman" w:cstheme="minorHAnsi"/>
                <w:lang w:eastAsia="hr-HR"/>
              </w:rPr>
              <w:t xml:space="preserve"> eura.</w:t>
            </w:r>
          </w:p>
          <w:p w14:paraId="685A7A26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 xml:space="preserve">Prema izvorima čine ih izvor 11 Opći prihodi i primici </w:t>
            </w:r>
            <w:r>
              <w:rPr>
                <w:rFonts w:eastAsia="Times New Roman" w:cstheme="minorHAnsi"/>
                <w:lang w:eastAsia="hr-HR"/>
              </w:rPr>
              <w:t>90.330,00</w:t>
            </w:r>
            <w:r w:rsidRPr="00125E1B">
              <w:rPr>
                <w:rFonts w:eastAsia="Times New Roman" w:cstheme="minorHAnsi"/>
                <w:lang w:eastAsia="hr-HR"/>
              </w:rPr>
              <w:t xml:space="preserve"> eura za </w:t>
            </w:r>
            <w:r>
              <w:rPr>
                <w:rFonts w:eastAsia="Times New Roman" w:cstheme="minorHAnsi"/>
                <w:lang w:eastAsia="hr-HR"/>
              </w:rPr>
              <w:t xml:space="preserve">petero zaposlenih. Sredstva iz ovog izvora se povećavanju za 5.435,00 eura, jer je na bruto plaćama došlo do povećanje materijalnih prava zaposlenih po kolektivnom ugovoru za državne službenike i namještenike. </w:t>
            </w:r>
          </w:p>
          <w:p w14:paraId="720CF0D3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757FB381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 xml:space="preserve">Skupina </w:t>
            </w:r>
            <w:r>
              <w:rPr>
                <w:rFonts w:eastAsia="Times New Roman" w:cstheme="minorHAnsi"/>
                <w:lang w:eastAsia="hr-HR"/>
              </w:rPr>
              <w:t xml:space="preserve">konta </w:t>
            </w:r>
            <w:r w:rsidRPr="00125E1B">
              <w:rPr>
                <w:rFonts w:eastAsia="Times New Roman" w:cstheme="minorHAnsi"/>
                <w:lang w:eastAsia="hr-HR"/>
              </w:rPr>
              <w:t>32 Materijalni rashodi</w:t>
            </w:r>
            <w:r>
              <w:rPr>
                <w:rFonts w:eastAsia="Times New Roman" w:cstheme="minorHAnsi"/>
                <w:lang w:eastAsia="hr-HR"/>
              </w:rPr>
              <w:t xml:space="preserve"> sada iznose 122.080,00 euro, ovim izmjenama i dopunama  povećavaju se za 15.398,11 eura i </w:t>
            </w:r>
            <w:r w:rsidRPr="00125E1B">
              <w:rPr>
                <w:rFonts w:eastAsia="Times New Roman" w:cstheme="minorHAnsi"/>
                <w:lang w:eastAsia="hr-HR"/>
              </w:rPr>
              <w:t xml:space="preserve">iznose </w:t>
            </w:r>
            <w:r>
              <w:rPr>
                <w:rFonts w:eastAsia="Times New Roman" w:cstheme="minorHAnsi"/>
                <w:lang w:eastAsia="hr-HR"/>
              </w:rPr>
              <w:t>137.478,11</w:t>
            </w:r>
            <w:r w:rsidRPr="00125E1B">
              <w:rPr>
                <w:rFonts w:eastAsia="Times New Roman" w:cstheme="minorHAnsi"/>
                <w:lang w:eastAsia="hr-HR"/>
              </w:rPr>
              <w:t xml:space="preserve"> eura</w:t>
            </w:r>
            <w:r>
              <w:rPr>
                <w:rFonts w:eastAsia="Times New Roman" w:cstheme="minorHAnsi"/>
                <w:lang w:eastAsia="hr-HR"/>
              </w:rPr>
              <w:t>. P</w:t>
            </w:r>
            <w:r w:rsidRPr="00125E1B">
              <w:rPr>
                <w:rFonts w:eastAsia="Times New Roman" w:cstheme="minorHAnsi"/>
                <w:lang w:eastAsia="hr-HR"/>
              </w:rPr>
              <w:t xml:space="preserve">rema izvorima, izvor 11 Opći prihodi i primici </w:t>
            </w:r>
            <w:r>
              <w:rPr>
                <w:rFonts w:eastAsia="Times New Roman" w:cstheme="minorHAnsi"/>
                <w:lang w:eastAsia="hr-HR"/>
              </w:rPr>
              <w:t>iznose 57.180,00</w:t>
            </w:r>
            <w:r w:rsidRPr="00125E1B">
              <w:rPr>
                <w:rFonts w:eastAsia="Times New Roman" w:cstheme="minorHAnsi"/>
                <w:lang w:eastAsia="hr-HR"/>
              </w:rPr>
              <w:t xml:space="preserve"> eura</w:t>
            </w:r>
            <w:r>
              <w:rPr>
                <w:rFonts w:eastAsia="Times New Roman" w:cstheme="minorHAnsi"/>
                <w:lang w:eastAsia="hr-HR"/>
              </w:rPr>
              <w:t xml:space="preserve"> i ovim izmjenama se ne mijenjaju. Sredstva su namijenjena za </w:t>
            </w:r>
            <w:r w:rsidRPr="00125E1B">
              <w:rPr>
                <w:rFonts w:eastAsia="Times New Roman" w:cstheme="minorHAnsi"/>
                <w:lang w:eastAsia="hr-HR"/>
              </w:rPr>
              <w:t>energente i materijalne rashode za dvorane u Hrvatskom domu</w:t>
            </w:r>
            <w:r>
              <w:rPr>
                <w:rFonts w:eastAsia="Times New Roman" w:cstheme="minorHAnsi"/>
                <w:lang w:eastAsia="hr-HR"/>
              </w:rPr>
              <w:t xml:space="preserve">, za najam aplikacije za Digitalno urudžbiranje </w:t>
            </w:r>
            <w:r w:rsidRPr="00125E1B">
              <w:rPr>
                <w:rFonts w:eastAsia="Times New Roman" w:cstheme="minorHAnsi"/>
                <w:lang w:eastAsia="hr-HR"/>
              </w:rPr>
              <w:t>i dio rashoda za obavljene usluge u Kinu Križevci</w:t>
            </w:r>
            <w:r>
              <w:rPr>
                <w:rFonts w:eastAsia="Times New Roman" w:cstheme="minorHAnsi"/>
                <w:lang w:eastAsia="hr-HR"/>
              </w:rPr>
              <w:t>, te za organizaciju Ljetnog kina</w:t>
            </w:r>
            <w:r w:rsidRPr="00125E1B">
              <w:rPr>
                <w:rFonts w:eastAsia="Times New Roman" w:cstheme="minorHAnsi"/>
                <w:lang w:eastAsia="hr-HR"/>
              </w:rPr>
              <w:t>.</w:t>
            </w:r>
          </w:p>
          <w:p w14:paraId="3F164896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 xml:space="preserve">Izvor 21 Vlastiti prihodi u iznosu od </w:t>
            </w:r>
            <w:r>
              <w:rPr>
                <w:rFonts w:eastAsia="Times New Roman" w:cstheme="minorHAnsi"/>
                <w:lang w:eastAsia="hr-HR"/>
              </w:rPr>
              <w:t>35.000,00</w:t>
            </w:r>
            <w:r w:rsidRPr="00125E1B">
              <w:rPr>
                <w:rFonts w:eastAsia="Times New Roman" w:cstheme="minorHAnsi"/>
                <w:lang w:eastAsia="hr-HR"/>
              </w:rPr>
              <w:t xml:space="preserve"> eur</w:t>
            </w:r>
            <w:r>
              <w:rPr>
                <w:rFonts w:eastAsia="Times New Roman" w:cstheme="minorHAnsi"/>
                <w:lang w:eastAsia="hr-HR"/>
              </w:rPr>
              <w:t>a i povećavaju se za 4.148,11 eura i sada iznose 39.148,11 eura.</w:t>
            </w:r>
            <w:r w:rsidRPr="00125E1B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 xml:space="preserve">Sredstva su namijenjena </w:t>
            </w:r>
            <w:r w:rsidRPr="00125E1B">
              <w:rPr>
                <w:rFonts w:eastAsia="Times New Roman" w:cstheme="minorHAnsi"/>
                <w:lang w:eastAsia="hr-HR"/>
              </w:rPr>
              <w:t>za sve materijalne rashode i rashode za usluge u provođenju obrazovanja odraslih</w:t>
            </w:r>
            <w:r>
              <w:rPr>
                <w:rFonts w:eastAsia="Times New Roman" w:cstheme="minorHAnsi"/>
                <w:lang w:eastAsia="hr-HR"/>
              </w:rPr>
              <w:t>,</w:t>
            </w:r>
            <w:r w:rsidRPr="00125E1B">
              <w:rPr>
                <w:rFonts w:eastAsia="Times New Roman" w:cstheme="minorHAnsi"/>
                <w:lang w:eastAsia="hr-HR"/>
              </w:rPr>
              <w:t xml:space="preserve"> kino prikazivačke djelatnosti</w:t>
            </w:r>
            <w:r>
              <w:rPr>
                <w:rFonts w:eastAsia="Times New Roman" w:cstheme="minorHAnsi"/>
                <w:lang w:eastAsia="hr-HR"/>
              </w:rPr>
              <w:t xml:space="preserve"> koju ne pokriva proračun iz redovnog rada</w:t>
            </w:r>
            <w:r w:rsidRPr="00125E1B">
              <w:rPr>
                <w:rFonts w:eastAsia="Times New Roman" w:cstheme="minorHAnsi"/>
                <w:lang w:eastAsia="hr-HR"/>
              </w:rPr>
              <w:t>.</w:t>
            </w:r>
            <w:r>
              <w:rPr>
                <w:rFonts w:eastAsia="Times New Roman" w:cstheme="minorHAnsi"/>
                <w:lang w:eastAsia="hr-HR"/>
              </w:rPr>
              <w:t xml:space="preserve"> Na ovoj poziciji uvršten je i manjak prihoda iz tog izvora prenesen iz 2023. godine.</w:t>
            </w:r>
            <w:r w:rsidRPr="00125E1B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54EB6B8C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 xml:space="preserve">Izvor </w:t>
            </w:r>
            <w:r>
              <w:rPr>
                <w:rFonts w:eastAsia="Times New Roman" w:cstheme="minorHAnsi"/>
                <w:lang w:eastAsia="hr-HR"/>
              </w:rPr>
              <w:t>31</w:t>
            </w:r>
            <w:r w:rsidRPr="00125E1B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 xml:space="preserve">Prihodi po posebnim propisima planirani su u iznosu od 30.300,00 eura, a povećavaju se za 6.600,00 i sada iznose 36.900,00 eura. </w:t>
            </w:r>
          </w:p>
          <w:p w14:paraId="6689B785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Izvor financiranja 45 Pomoći EU proračunskim korisnicima iznosili su 600,00 eura, povećavaju se za 10.400,00 i sada iznose 11.000,00 eura. </w:t>
            </w:r>
          </w:p>
          <w:p w14:paraId="4C52451A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lastRenderedPageBreak/>
              <w:t>Izvor 421 Prihodi iz drugih proračuna te ostalih subjekata unutar općeg proračuna umanjen je za 6.750,00 eura i sada iznosi 0,00 eura.</w:t>
            </w:r>
          </w:p>
          <w:p w14:paraId="0B31E3D8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13FE9071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5E1B">
              <w:rPr>
                <w:rFonts w:eastAsia="Times New Roman" w:cstheme="minorHAnsi"/>
                <w:lang w:eastAsia="hr-HR"/>
              </w:rPr>
              <w:t xml:space="preserve">Skupina </w:t>
            </w:r>
            <w:r>
              <w:rPr>
                <w:rFonts w:eastAsia="Times New Roman" w:cstheme="minorHAnsi"/>
                <w:lang w:eastAsia="hr-HR"/>
              </w:rPr>
              <w:t xml:space="preserve">konta </w:t>
            </w:r>
            <w:r w:rsidRPr="00125E1B">
              <w:rPr>
                <w:rFonts w:eastAsia="Times New Roman" w:cstheme="minorHAnsi"/>
                <w:lang w:eastAsia="hr-HR"/>
              </w:rPr>
              <w:t>34 Financijski rashodi</w:t>
            </w:r>
            <w:r>
              <w:rPr>
                <w:rFonts w:eastAsia="Times New Roman" w:cstheme="minorHAnsi"/>
                <w:lang w:eastAsia="hr-HR"/>
              </w:rPr>
              <w:t xml:space="preserve">, iznose 950,00 eura i ne mijenjaju se, a </w:t>
            </w:r>
            <w:r w:rsidRPr="00125E1B">
              <w:rPr>
                <w:rFonts w:eastAsia="Times New Roman" w:cstheme="minorHAnsi"/>
                <w:lang w:eastAsia="hr-HR"/>
              </w:rPr>
              <w:t xml:space="preserve">odnose se na usluge platnog prometa i </w:t>
            </w:r>
            <w:r>
              <w:rPr>
                <w:rFonts w:eastAsia="Times New Roman" w:cstheme="minorHAnsi"/>
                <w:lang w:eastAsia="hr-HR"/>
              </w:rPr>
              <w:t xml:space="preserve">usluge platforme za on-line plaćanja kino ulaznica, </w:t>
            </w:r>
            <w:r w:rsidRPr="00125E1B">
              <w:rPr>
                <w:rFonts w:eastAsia="Times New Roman" w:cstheme="minorHAnsi"/>
                <w:lang w:eastAsia="hr-HR"/>
              </w:rPr>
              <w:t>financiraju se iz izvora 21 Vlastiti prihodi.</w:t>
            </w:r>
          </w:p>
        </w:tc>
      </w:tr>
      <w:tr w:rsidR="009E78BA" w:rsidRPr="00A109F1" w14:paraId="16684C9B" w14:textId="77777777" w:rsidTr="00BC1B87">
        <w:trPr>
          <w:trHeight w:val="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DD819F2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80857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3. Obrazloženje Računa financiranja</w:t>
            </w:r>
          </w:p>
        </w:tc>
      </w:tr>
      <w:tr w:rsidR="009E78BA" w:rsidRPr="00A109F1" w14:paraId="00C81754" w14:textId="77777777" w:rsidTr="009E78BA">
        <w:trPr>
          <w:trHeight w:val="1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9B2B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Pučko otvoreno učilište Križevci nema podataka za Račun financiranja.</w:t>
            </w:r>
          </w:p>
          <w:p w14:paraId="1B0097B1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Učilište nema primitaka od financijske imovine i zaduživanja, ni izdataka za financijsku imovinu i za otplatu instrumenata zaduživanja</w:t>
            </w:r>
          </w:p>
        </w:tc>
      </w:tr>
      <w:tr w:rsidR="009E78BA" w:rsidRPr="00A109F1" w14:paraId="4B7F2CDB" w14:textId="77777777" w:rsidTr="00BC1B87">
        <w:trPr>
          <w:trHeight w:val="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A392" w14:textId="77777777" w:rsidR="009E78BA" w:rsidRPr="00443480" w:rsidRDefault="009E78BA" w:rsidP="00BC1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7CAAC" w:themeFill="accent2" w:themeFillTint="66"/>
              <w:rPr>
                <w:b/>
                <w:bCs/>
              </w:rPr>
            </w:pPr>
            <w:r w:rsidRPr="00443480">
              <w:rPr>
                <w:b/>
                <w:bCs/>
              </w:rPr>
              <w:t>4. Obrazloženje rashoda prema funkcijskoj klasifikaciji</w:t>
            </w:r>
          </w:p>
          <w:p w14:paraId="3316D868" w14:textId="77777777" w:rsidR="009E78BA" w:rsidRDefault="009E78BA" w:rsidP="00BC1B87">
            <w:r>
              <w:t>Ukupni rashodi Pučkog otvorenog učilišta prema ovim izmjenama i dopunama Financijskog plana za 2024. godinu u iznosu od 235.293,11 eura spadaju prema funkciji u Rekreaciju, kulturu i religiju, odnosno po brojčanoj oznaci 082 Službe kulture.</w:t>
            </w:r>
          </w:p>
          <w:p w14:paraId="0E78CDE3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E78BA" w:rsidRPr="00A109F1" w14:paraId="42A55C05" w14:textId="77777777" w:rsidTr="00BC1B87">
        <w:trPr>
          <w:trHeight w:val="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8E8B645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5. </w:t>
            </w:r>
            <w:r w:rsidRPr="00D23FC9">
              <w:rPr>
                <w:rFonts w:eastAsia="Times New Roman" w:cstheme="minorHAnsi"/>
                <w:b/>
                <w:bCs/>
                <w:lang w:eastAsia="hr-HR"/>
              </w:rPr>
              <w:t xml:space="preserve">Obrazloženje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prenesenog viška ili manjka iz 2023. godine.</w:t>
            </w:r>
          </w:p>
        </w:tc>
      </w:tr>
      <w:tr w:rsidR="009E78BA" w:rsidRPr="00A109F1" w14:paraId="32232E3A" w14:textId="77777777" w:rsidTr="00BC1B87">
        <w:trPr>
          <w:trHeight w:val="18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F552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Preneseni manjak iz 2023. godine iznosi 601,51 eura. Prema izvorima čine ga:</w:t>
            </w:r>
          </w:p>
          <w:p w14:paraId="7E1B2BE5" w14:textId="77777777" w:rsidR="009E78BA" w:rsidRDefault="009E78BA" w:rsidP="00BC1B8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Izvor 11 Opći prihodi i primici u iznosu od -3.549,62 eura. Metodološki manjak zbog načina priznavanja prihoda i rashoda. Ovaj manjak podmiruje nadležni proračun.</w:t>
            </w:r>
          </w:p>
          <w:p w14:paraId="736FD99D" w14:textId="77777777" w:rsidR="009E78BA" w:rsidRDefault="009E78BA" w:rsidP="00BC1B8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Izvor 21 Vlastiti prihodi višak u iznosu od 2.948,11 eura. Raspoređen je na materijalne rashode Redovnog poslovanja.</w:t>
            </w:r>
          </w:p>
          <w:p w14:paraId="24FC4BC1" w14:textId="77777777" w:rsidR="009E78BA" w:rsidRDefault="009E78BA" w:rsidP="00BC1B87">
            <w:pPr>
              <w:pStyle w:val="Odlomakpopisa"/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7DF2FE5B" w14:textId="77777777" w:rsidR="009E78BA" w:rsidRPr="00161A49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Preneseni manjak prihoda iz 2023. godine bit će podmiren u toku 2024. godine iz vlastitih izvora. </w:t>
            </w:r>
          </w:p>
          <w:p w14:paraId="6E14E1B1" w14:textId="77777777" w:rsidR="009E78BA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0AB12258" w14:textId="77777777" w:rsidR="009E78BA" w:rsidRPr="00A109F1" w:rsidRDefault="009E78BA" w:rsidP="009E78BA">
      <w:pPr>
        <w:spacing w:after="0" w:line="240" w:lineRule="auto"/>
        <w:rPr>
          <w:rFonts w:cstheme="minorHAnsi"/>
        </w:rPr>
      </w:pPr>
    </w:p>
    <w:tbl>
      <w:tblPr>
        <w:tblW w:w="9165" w:type="dxa"/>
        <w:tblInd w:w="-5" w:type="dxa"/>
        <w:tblLook w:val="04A0" w:firstRow="1" w:lastRow="0" w:firstColumn="1" w:lastColumn="0" w:noHBand="0" w:noVBand="1"/>
      </w:tblPr>
      <w:tblGrid>
        <w:gridCol w:w="1018"/>
        <w:gridCol w:w="1018"/>
        <w:gridCol w:w="1017"/>
        <w:gridCol w:w="1018"/>
        <w:gridCol w:w="1019"/>
        <w:gridCol w:w="1019"/>
        <w:gridCol w:w="1019"/>
        <w:gridCol w:w="1019"/>
        <w:gridCol w:w="1018"/>
      </w:tblGrid>
      <w:tr w:rsidR="009E78BA" w:rsidRPr="00A109F1" w14:paraId="30C4B56C" w14:textId="77777777" w:rsidTr="00BC1B87">
        <w:trPr>
          <w:trHeight w:val="499"/>
        </w:trPr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3115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Predviđen</w:t>
            </w:r>
            <w:r>
              <w:rPr>
                <w:rFonts w:eastAsia="Times New Roman" w:cstheme="minorHAnsi"/>
                <w:lang w:eastAsia="hr-HR"/>
              </w:rPr>
              <w:t>i višak/manjak po završetku 2024</w:t>
            </w:r>
            <w:r w:rsidRPr="004479EE">
              <w:rPr>
                <w:rFonts w:eastAsia="Times New Roman" w:cstheme="minorHAnsi"/>
                <w:lang w:eastAsia="hr-HR"/>
              </w:rPr>
              <w:t>. godine (kumulirani)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AC56D" w14:textId="77777777" w:rsidR="009E78BA" w:rsidRPr="004479EE" w:rsidRDefault="009E78BA" w:rsidP="00BC1B8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0,00</w:t>
            </w:r>
            <w:r w:rsidRPr="004479EE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</w:tr>
      <w:tr w:rsidR="009E78BA" w:rsidRPr="00A109F1" w14:paraId="77DA6FFA" w14:textId="77777777" w:rsidTr="00BC1B87">
        <w:trPr>
          <w:trHeight w:val="499"/>
        </w:trPr>
        <w:tc>
          <w:tcPr>
            <w:tcW w:w="71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CD60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(manjak upisati s predznakom minus)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86E2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9E78BA" w:rsidRPr="00A109F1" w14:paraId="24713B22" w14:textId="77777777" w:rsidTr="00BC1B87">
        <w:trPr>
          <w:gridAfter w:val="1"/>
          <w:wAfter w:w="1017" w:type="dxa"/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CEE5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172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7C7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AE6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5695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617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6CDE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81E6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E78BA" w:rsidRPr="004479EE" w14:paraId="7787BBC5" w14:textId="77777777" w:rsidTr="00BC1B87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5474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C75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B7F0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716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59FA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Datum: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7D46" w14:textId="23130AF2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</w:t>
            </w:r>
            <w:r w:rsidR="00F90586">
              <w:rPr>
                <w:rFonts w:eastAsia="Times New Roman" w:cstheme="minorHAnsi"/>
                <w:lang w:eastAsia="hr-HR"/>
              </w:rPr>
              <w:t>8</w:t>
            </w:r>
            <w:r>
              <w:rPr>
                <w:rFonts w:eastAsia="Times New Roman" w:cstheme="minorHAnsi"/>
                <w:lang w:eastAsia="hr-HR"/>
              </w:rPr>
              <w:t>.</w:t>
            </w:r>
            <w:r w:rsidR="00F90586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6.2024.</w:t>
            </w: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9E78BA" w:rsidRPr="004479EE" w14:paraId="23A140D9" w14:textId="77777777" w:rsidTr="00BC1B87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7EE3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89ED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4387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8A9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19BF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B27F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5A3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1D5D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5EC3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E78BA" w:rsidRPr="004479EE" w14:paraId="239B668C" w14:textId="77777777" w:rsidTr="00BC1B87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8EC8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992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Računovođa</w:t>
            </w:r>
            <w:r w:rsidRPr="004479EE">
              <w:rPr>
                <w:rFonts w:eastAsia="Times New Roman" w:cstheme="minorHAnsi"/>
                <w:lang w:eastAsia="hr-HR"/>
              </w:rPr>
              <w:t>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D40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Snježana Đuranec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09CB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9E78BA" w:rsidRPr="004479EE" w14:paraId="702D376D" w14:textId="77777777" w:rsidTr="00BC1B87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CC5F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53D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F00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4AD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3E0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69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92A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8438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2884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E78BA" w:rsidRPr="004479EE" w14:paraId="4D8A4AE9" w14:textId="77777777" w:rsidTr="00BC1B87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AE2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845C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Odgovorna osoba: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A979" w14:textId="77777777" w:rsidR="009E78BA" w:rsidRPr="004479EE" w:rsidRDefault="009E78BA" w:rsidP="00BC1B8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9F1447">
              <w:rPr>
                <w:rFonts w:eastAsia="Times New Roman" w:cstheme="minorHAnsi"/>
                <w:lang w:eastAsia="hr-HR"/>
              </w:rPr>
              <w:t>Željka Šunjić, prof.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3796" w14:textId="77777777" w:rsidR="009E78BA" w:rsidRPr="004479EE" w:rsidRDefault="009E78BA" w:rsidP="00BC1B87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</w:p>
        </w:tc>
      </w:tr>
    </w:tbl>
    <w:p w14:paraId="4D68A92E" w14:textId="77777777" w:rsidR="009E78BA" w:rsidRPr="00A109F1" w:rsidRDefault="009E78BA" w:rsidP="009E78BA">
      <w:pPr>
        <w:rPr>
          <w:rFonts w:cstheme="minorHAnsi"/>
        </w:rPr>
      </w:pPr>
    </w:p>
    <w:p w14:paraId="5ED64654" w14:textId="7A8ADC7B" w:rsidR="009E78BA" w:rsidRDefault="009E78BA">
      <w:r>
        <w:br w:type="page"/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F90586" w:rsidRPr="00A109F1" w14:paraId="365FD6C6" w14:textId="77777777" w:rsidTr="00BC1B87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2F3C4640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lastRenderedPageBreak/>
              <w:t>PUČKO OTVORENO UČILIŠTE</w:t>
            </w:r>
            <w:r w:rsidRPr="009F1447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 KRIŽEVCI</w:t>
            </w:r>
          </w:p>
        </w:tc>
      </w:tr>
      <w:tr w:rsidR="00F90586" w:rsidRPr="00A109F1" w14:paraId="636FC711" w14:textId="77777777" w:rsidTr="00BC1B87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15BF3563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OBRAZLOŽENJE 2. IZMJENA I DOPUNA POSEBNOG DIJELA FINANCIJSKOG PLANA ZA 2024. GODINU</w:t>
            </w:r>
          </w:p>
        </w:tc>
      </w:tr>
      <w:tr w:rsidR="00F90586" w:rsidRPr="00A109F1" w14:paraId="4DFE4F84" w14:textId="77777777" w:rsidTr="00BC1B87">
        <w:trPr>
          <w:trHeight w:val="454"/>
        </w:trPr>
        <w:tc>
          <w:tcPr>
            <w:tcW w:w="9160" w:type="dxa"/>
            <w:shd w:val="clear" w:color="auto" w:fill="auto"/>
            <w:noWrap/>
            <w:vAlign w:val="center"/>
            <w:hideMark/>
          </w:tcPr>
          <w:p w14:paraId="5234C88B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26"/>
                <w:szCs w:val="26"/>
                <w:lang w:eastAsia="hr-HR"/>
              </w:rPr>
            </w:pPr>
          </w:p>
        </w:tc>
      </w:tr>
    </w:tbl>
    <w:p w14:paraId="303D5EAF" w14:textId="77777777" w:rsidR="00F90586" w:rsidRPr="00A109F1" w:rsidRDefault="00F90586" w:rsidP="00F90586">
      <w:pPr>
        <w:spacing w:after="0" w:line="240" w:lineRule="auto"/>
        <w:rPr>
          <w:rFonts w:cstheme="minorHAnsi"/>
        </w:rPr>
      </w:pPr>
    </w:p>
    <w:tbl>
      <w:tblPr>
        <w:tblW w:w="9259" w:type="dxa"/>
        <w:tblInd w:w="-10" w:type="dxa"/>
        <w:tblLook w:val="04A0" w:firstRow="1" w:lastRow="0" w:firstColumn="1" w:lastColumn="0" w:noHBand="0" w:noVBand="1"/>
      </w:tblPr>
      <w:tblGrid>
        <w:gridCol w:w="10"/>
        <w:gridCol w:w="1008"/>
        <w:gridCol w:w="1018"/>
        <w:gridCol w:w="1017"/>
        <w:gridCol w:w="1018"/>
        <w:gridCol w:w="1019"/>
        <w:gridCol w:w="1019"/>
        <w:gridCol w:w="1019"/>
        <w:gridCol w:w="1019"/>
        <w:gridCol w:w="1018"/>
        <w:gridCol w:w="94"/>
      </w:tblGrid>
      <w:tr w:rsidR="00F90586" w:rsidRPr="00A109F1" w14:paraId="145998D5" w14:textId="77777777" w:rsidTr="00BC1B87">
        <w:trPr>
          <w:gridBefore w:val="1"/>
          <w:wBefore w:w="10" w:type="dxa"/>
          <w:trHeight w:val="533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663059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1. Obrazloženje rashoda prema programima, aktivnostima i projektima</w:t>
            </w:r>
          </w:p>
        </w:tc>
      </w:tr>
      <w:tr w:rsidR="00F90586" w:rsidRPr="00A109F1" w14:paraId="69BB6391" w14:textId="77777777" w:rsidTr="00BC1B87">
        <w:trPr>
          <w:gridBefore w:val="1"/>
          <w:wBefore w:w="10" w:type="dxa"/>
          <w:trHeight w:val="8243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D654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Posebni dio financijskog plana Pučkog otvorenog učilišta Križevci za 2024. godinu obuhvaća program Kulturno-obrazovne djelatnosti Pučkog otvorenog učilišta Križevci.</w:t>
            </w:r>
          </w:p>
          <w:p w14:paraId="21534223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Na razini programa Učilišta financijski plan u iznosu od 214.460,00 eura uvećan je za 21.434,62 eura i sada iznosi 235.894,62 eura.</w:t>
            </w:r>
          </w:p>
          <w:p w14:paraId="121D0897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F6BAF">
              <w:rPr>
                <w:rFonts w:eastAsia="Times New Roman" w:cstheme="minorHAnsi"/>
                <w:u w:val="single"/>
                <w:lang w:eastAsia="hr-HR"/>
              </w:rPr>
              <w:t>Prema aktivnostima ta sredstva raspoređena su na rashode Redovnog rada Pučkog otvorenog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4F6BAF">
              <w:rPr>
                <w:rFonts w:eastAsia="Times New Roman" w:cstheme="minorHAnsi"/>
                <w:u w:val="single"/>
                <w:lang w:eastAsia="hr-HR"/>
              </w:rPr>
              <w:t>učilišta Križevci</w:t>
            </w:r>
            <w:r>
              <w:rPr>
                <w:rFonts w:eastAsia="Times New Roman" w:cstheme="minorHAnsi"/>
                <w:lang w:eastAsia="hr-HR"/>
              </w:rPr>
              <w:t xml:space="preserve"> u iznosu od 165.395,00. eura što je povećanje u odnosu na postojeći plan za 13.535,00 eura. Prema izvorima financiranja unutar ove aktivnosti, sredstva iz izvora 11 Opći prihodi i primici povećana su i sada iznose 125.595,00 eura. Povećanje je rezultat povećanja sredstava za rashode za zaposlene za 5.435,00 eura, zbog povećanja osnovice za izračun plaća za državne službenike i namještenike. Materijalni rashodi povećavaju se za 8.100,00 eura i sad iznose 68.980,00 zbog povećanja rashoda za materijal i energiju te usluga tekućeg investicijskog održavanja.</w:t>
            </w:r>
          </w:p>
          <w:p w14:paraId="7EDF5474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Rashodi aktivnosti Redovnog rada financiraju se i iz izvora 21 Vlastiti prihodi. Sredstva su povećana za 500,00 eura jer je povećan i prihod od obrazovanja odraslih, istovremeno u rashode iz ovog izvora uvršten je i manjak iz 2023. godine u iznosu od 601,51 eura.</w:t>
            </w:r>
          </w:p>
          <w:p w14:paraId="58B7F0E8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F6BAF">
              <w:rPr>
                <w:rFonts w:eastAsia="Times New Roman" w:cstheme="minorHAnsi"/>
                <w:u w:val="single"/>
                <w:lang w:eastAsia="hr-HR"/>
              </w:rPr>
              <w:t>Rashodi aktivnosti Kina Križevci</w:t>
            </w:r>
            <w:r>
              <w:rPr>
                <w:rFonts w:eastAsia="Times New Roman" w:cstheme="minorHAnsi"/>
                <w:lang w:eastAsia="hr-HR"/>
              </w:rPr>
              <w:t xml:space="preserve"> povećavaju se ukupno za 3.648,11eura i sada iznose 52.148,11 eura. Prema izvorima financiranja; iz izvora 11 Opći prihodi i primici rashodi ostaju isti i iznose 16.000,00 eura, a iz izvora 21 Vlastiti prihodi, rashodi se povećavaju za 3.648,11 eura i sada iznose 36.148,11 eura. Interes za kino je povećan pa imamo povećane prihode od ulaznica za kino, ali i rashode ove aktivnosti.</w:t>
            </w:r>
          </w:p>
          <w:p w14:paraId="23A1DD68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F6BAF">
              <w:rPr>
                <w:rFonts w:eastAsia="Times New Roman" w:cstheme="minorHAnsi"/>
                <w:u w:val="single"/>
                <w:lang w:eastAsia="hr-HR"/>
              </w:rPr>
              <w:t>Rashodi Kapitalnog projekta Uređenje podrumske dvorane Hrvatskog doma</w:t>
            </w:r>
            <w:r>
              <w:rPr>
                <w:rFonts w:eastAsia="Times New Roman" w:cstheme="minorHAnsi"/>
                <w:lang w:eastAsia="hr-HR"/>
              </w:rPr>
              <w:t xml:space="preserve"> iznose 6.750,00 eura što znači da su umanjeni za 6.750,00 eura. Iz izvora 42 Prihodi iz drugih proračuna te ostalih subjekata unutar općeg proračuna, umanjena sredstva na natječaju Ministarstva kulture i medija jer učilište ove godine nije dobilo tražena sredstva, a uređenje prati i Grad Križevci iz izvora 11 Opći prihodi i primici u iznosu od 6.650,00 eura. Također i Učilište kroz izvor 21 Vlastiti prihodi sudjeluje u uređenju sa iznosom od 100 eura. Ovaj planirani iznos koristit će se za potrebe uređenja Podrumske dvorane.</w:t>
            </w:r>
          </w:p>
          <w:p w14:paraId="13B7B28E" w14:textId="77777777" w:rsidR="00F90586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F6BAF">
              <w:rPr>
                <w:rFonts w:eastAsia="Times New Roman" w:cstheme="minorHAnsi"/>
                <w:u w:val="single"/>
                <w:lang w:eastAsia="hr-HR"/>
              </w:rPr>
              <w:t>Rashodi aktivnosti RUK</w:t>
            </w:r>
            <w:r>
              <w:rPr>
                <w:rFonts w:eastAsia="Times New Roman" w:cstheme="minorHAnsi"/>
                <w:u w:val="single"/>
                <w:lang w:eastAsia="hr-HR"/>
              </w:rPr>
              <w:t>E</w:t>
            </w:r>
            <w:r w:rsidRPr="004F6BAF">
              <w:rPr>
                <w:rFonts w:eastAsia="Times New Roman" w:cstheme="minorHAnsi"/>
                <w:u w:val="single"/>
                <w:lang w:eastAsia="hr-HR"/>
              </w:rPr>
              <w:t>- recikliram, učim, kreiram</w:t>
            </w:r>
            <w:r>
              <w:rPr>
                <w:rFonts w:eastAsia="Times New Roman" w:cstheme="minorHAnsi"/>
                <w:lang w:eastAsia="hr-HR"/>
              </w:rPr>
              <w:t xml:space="preserve"> ostaje isti i iznose 600,00 eura. Ovim sredstvima financira se posljednja plaća za stručnu suradnicu koja radi na tom projektu.</w:t>
            </w:r>
          </w:p>
          <w:p w14:paraId="0949A7EA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Rashodi za aktivnost Erasmus+projekta Harmony hub uvećani su za 10.400,00 eura. Cijeli iznos financira se iz izvora 45 Pomoći EU proračunskim korisnicima za sudjelovanje ravnateljice i stručne suradnice u inozemstvu na edukacijama.</w:t>
            </w:r>
          </w:p>
        </w:tc>
      </w:tr>
      <w:tr w:rsidR="00F90586" w:rsidRPr="00A109F1" w14:paraId="56A564A2" w14:textId="77777777" w:rsidTr="00BC1B87">
        <w:trPr>
          <w:gridAfter w:val="2"/>
          <w:wAfter w:w="1112" w:type="dxa"/>
          <w:trHeight w:val="402"/>
        </w:trPr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AE48" w14:textId="77777777" w:rsidR="00F90586" w:rsidRPr="004479EE" w:rsidRDefault="00F90586" w:rsidP="00BC1B87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DC9E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78C7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7344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CAE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2CD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FCE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C78E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F90586" w:rsidRPr="004479EE" w14:paraId="4B44120E" w14:textId="77777777" w:rsidTr="00BC1B87">
        <w:trPr>
          <w:gridAfter w:val="1"/>
          <w:wAfter w:w="94" w:type="dxa"/>
          <w:trHeight w:val="402"/>
        </w:trPr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70B9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22D4" w14:textId="77777777" w:rsidR="00F90586" w:rsidRPr="004479EE" w:rsidRDefault="00F90586" w:rsidP="00BC1B8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ECA4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050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3A6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ED4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559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91FF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EC74" w14:textId="77777777" w:rsidR="00F90586" w:rsidRPr="004479EE" w:rsidRDefault="00F90586" w:rsidP="00BC1B8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0D757CDA" w14:textId="5062B1CD" w:rsidR="00F90586" w:rsidRDefault="00F90586" w:rsidP="00F90586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Datum: 18. 6. 2024.</w:t>
      </w:r>
    </w:p>
    <w:p w14:paraId="6F4381E5" w14:textId="77777777" w:rsidR="00F90586" w:rsidRDefault="00F90586" w:rsidP="00F90586">
      <w:pPr>
        <w:spacing w:after="0" w:line="240" w:lineRule="auto"/>
        <w:rPr>
          <w:rFonts w:cstheme="minorHAnsi"/>
        </w:rPr>
      </w:pPr>
    </w:p>
    <w:p w14:paraId="0BDB3212" w14:textId="77777777" w:rsidR="00F90586" w:rsidRDefault="00F90586" w:rsidP="00F90586">
      <w:pPr>
        <w:spacing w:after="0" w:line="240" w:lineRule="auto"/>
        <w:rPr>
          <w:rFonts w:cstheme="minorHAnsi"/>
        </w:rPr>
      </w:pPr>
      <w:r>
        <w:rPr>
          <w:rFonts w:cstheme="minorHAnsi"/>
        </w:rPr>
        <w:t>Računovođa:                                                                               Odgovorna osoba:</w:t>
      </w:r>
    </w:p>
    <w:p w14:paraId="731C8406" w14:textId="77777777" w:rsidR="00F90586" w:rsidRPr="00A85A83" w:rsidRDefault="00F90586" w:rsidP="00F90586">
      <w:pPr>
        <w:rPr>
          <w:rFonts w:cstheme="minorHAnsi"/>
        </w:rPr>
      </w:pPr>
      <w:r>
        <w:rPr>
          <w:rFonts w:cstheme="minorHAnsi"/>
        </w:rPr>
        <w:t>Snježana Đuranec                                                                   Željka Šunjić, prof.</w:t>
      </w:r>
    </w:p>
    <w:p w14:paraId="3C395AE3" w14:textId="77777777" w:rsidR="002E6C5C" w:rsidRDefault="002E6C5C"/>
    <w:sectPr w:rsidR="002E6C5C" w:rsidSect="009E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4A1B" w14:textId="77777777" w:rsidR="00001373" w:rsidRDefault="00001373" w:rsidP="0053288B">
      <w:pPr>
        <w:spacing w:after="0" w:line="240" w:lineRule="auto"/>
      </w:pPr>
      <w:r>
        <w:separator/>
      </w:r>
    </w:p>
  </w:endnote>
  <w:endnote w:type="continuationSeparator" w:id="0">
    <w:p w14:paraId="5C325C29" w14:textId="77777777" w:rsidR="00001373" w:rsidRDefault="00001373" w:rsidP="0053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D90D" w14:textId="77777777" w:rsidR="005F503F" w:rsidRDefault="005F50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793A" w14:textId="77777777" w:rsidR="005F503F" w:rsidRDefault="005F503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F3D0" w14:textId="77777777" w:rsidR="005F503F" w:rsidRDefault="005F50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F507" w14:textId="77777777" w:rsidR="00001373" w:rsidRDefault="00001373" w:rsidP="0053288B">
      <w:pPr>
        <w:spacing w:after="0" w:line="240" w:lineRule="auto"/>
      </w:pPr>
      <w:r>
        <w:separator/>
      </w:r>
    </w:p>
  </w:footnote>
  <w:footnote w:type="continuationSeparator" w:id="0">
    <w:p w14:paraId="440FC78C" w14:textId="77777777" w:rsidR="00001373" w:rsidRDefault="00001373" w:rsidP="0053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8AF5" w14:textId="77777777" w:rsidR="005F503F" w:rsidRDefault="005F50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F66C" w14:textId="6812E674" w:rsidR="0053288B" w:rsidRPr="00486CC1" w:rsidRDefault="0053288B" w:rsidP="005F503F">
    <w:pPr>
      <w:spacing w:after="0" w:line="240" w:lineRule="auto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</w:pPr>
    <w:r w:rsidRPr="00486CC1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>PR</w:t>
    </w:r>
    <w:r w:rsidR="005F503F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>VE</w:t>
    </w:r>
    <w:r w:rsidRPr="00486CC1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 xml:space="preserve"> IZMJEN</w:t>
    </w:r>
    <w:r w:rsidR="005F503F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>E</w:t>
    </w:r>
    <w:r w:rsidRPr="00486CC1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 xml:space="preserve"> I DOPUN</w:t>
    </w:r>
    <w:r w:rsidR="005F503F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>E</w:t>
    </w:r>
    <w:r w:rsidRPr="00486CC1">
      <w:rPr>
        <w:rFonts w:ascii="Arial" w:eastAsia="Times New Roman" w:hAnsi="Arial" w:cs="Arial"/>
        <w:b/>
        <w:bCs/>
        <w:color w:val="000000"/>
        <w:kern w:val="0"/>
        <w:sz w:val="18"/>
        <w:szCs w:val="18"/>
        <w:lang w:eastAsia="hr-HR"/>
        <w14:ligatures w14:val="none"/>
      </w:rPr>
      <w:t xml:space="preserve"> FINANCIJSKOG PLANA PUČKO OTVORENO UČILIŠTE KRIŽEVCI ZA 2024. GODINU</w:t>
    </w:r>
  </w:p>
  <w:p w14:paraId="2F134540" w14:textId="77777777" w:rsidR="0053288B" w:rsidRDefault="0053288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C048" w14:textId="77777777" w:rsidR="005F503F" w:rsidRDefault="005F50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4673F"/>
    <w:multiLevelType w:val="hybridMultilevel"/>
    <w:tmpl w:val="8416E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6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5C"/>
    <w:rsid w:val="00001373"/>
    <w:rsid w:val="000331D8"/>
    <w:rsid w:val="0003747B"/>
    <w:rsid w:val="000E04C5"/>
    <w:rsid w:val="000F0124"/>
    <w:rsid w:val="00116A76"/>
    <w:rsid w:val="002162E2"/>
    <w:rsid w:val="00276114"/>
    <w:rsid w:val="002934F7"/>
    <w:rsid w:val="002E6C5C"/>
    <w:rsid w:val="0032617A"/>
    <w:rsid w:val="00326664"/>
    <w:rsid w:val="00335EE4"/>
    <w:rsid w:val="00486CC1"/>
    <w:rsid w:val="00496EBC"/>
    <w:rsid w:val="00502FBF"/>
    <w:rsid w:val="005260FD"/>
    <w:rsid w:val="0053288B"/>
    <w:rsid w:val="00541257"/>
    <w:rsid w:val="005C7A7A"/>
    <w:rsid w:val="005F503F"/>
    <w:rsid w:val="00623164"/>
    <w:rsid w:val="0062753B"/>
    <w:rsid w:val="00686199"/>
    <w:rsid w:val="00757446"/>
    <w:rsid w:val="007B3B63"/>
    <w:rsid w:val="00855C7E"/>
    <w:rsid w:val="00856D0A"/>
    <w:rsid w:val="0086442C"/>
    <w:rsid w:val="008B799D"/>
    <w:rsid w:val="008E1FA7"/>
    <w:rsid w:val="008E7457"/>
    <w:rsid w:val="009E78BA"/>
    <w:rsid w:val="00B2690F"/>
    <w:rsid w:val="00C3424B"/>
    <w:rsid w:val="00C43543"/>
    <w:rsid w:val="00C65E88"/>
    <w:rsid w:val="00C95479"/>
    <w:rsid w:val="00CF51EC"/>
    <w:rsid w:val="00E02678"/>
    <w:rsid w:val="00E06456"/>
    <w:rsid w:val="00E15BE9"/>
    <w:rsid w:val="00E52722"/>
    <w:rsid w:val="00F55606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87A"/>
  <w15:chartTrackingRefBased/>
  <w15:docId w15:val="{4F2B4D06-6CDF-4C60-AE6E-C65EFB8C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88B"/>
  </w:style>
  <w:style w:type="paragraph" w:styleId="Podnoje">
    <w:name w:val="footer"/>
    <w:basedOn w:val="Normal"/>
    <w:link w:val="PodnojeChar"/>
    <w:uiPriority w:val="99"/>
    <w:unhideWhenUsed/>
    <w:rsid w:val="0053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88B"/>
  </w:style>
  <w:style w:type="character" w:styleId="Hiperveza">
    <w:name w:val="Hyperlink"/>
    <w:basedOn w:val="Zadanifontodlomka"/>
    <w:uiPriority w:val="99"/>
    <w:semiHidden/>
    <w:unhideWhenUsed/>
    <w:rsid w:val="005C7A7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A7A"/>
    <w:rPr>
      <w:color w:val="954F72"/>
      <w:u w:val="single"/>
    </w:rPr>
  </w:style>
  <w:style w:type="paragraph" w:customStyle="1" w:styleId="msonormal0">
    <w:name w:val="msonormal"/>
    <w:basedOn w:val="Normal"/>
    <w:rsid w:val="005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3">
    <w:name w:val="xl63"/>
    <w:basedOn w:val="Normal"/>
    <w:rsid w:val="005C7A7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64">
    <w:name w:val="xl64"/>
    <w:basedOn w:val="Normal"/>
    <w:rsid w:val="005C7A7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5C7A7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5C7A7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5C7A7A"/>
    <w:pPr>
      <w:shd w:val="clear" w:color="000000" w:fill="2835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5C7A7A"/>
    <w:pPr>
      <w:shd w:val="clear" w:color="000000" w:fill="2835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5C7A7A"/>
    <w:pPr>
      <w:shd w:val="clear" w:color="000000" w:fill="28359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5C7A7A"/>
    <w:pPr>
      <w:shd w:val="clear" w:color="000000" w:fill="1976D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5C7A7A"/>
    <w:pPr>
      <w:shd w:val="clear" w:color="000000" w:fill="1976D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5C7A7A"/>
    <w:pPr>
      <w:shd w:val="clear" w:color="000000" w:fill="1976D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5C7A7A"/>
    <w:pPr>
      <w:shd w:val="clear" w:color="000000" w:fill="FFE08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4">
    <w:name w:val="xl74"/>
    <w:basedOn w:val="Normal"/>
    <w:rsid w:val="005C7A7A"/>
    <w:pPr>
      <w:shd w:val="clear" w:color="000000" w:fill="FFE08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5">
    <w:name w:val="xl75"/>
    <w:basedOn w:val="Normal"/>
    <w:rsid w:val="005C7A7A"/>
    <w:pPr>
      <w:shd w:val="clear" w:color="000000" w:fill="FFE08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6">
    <w:name w:val="xl76"/>
    <w:basedOn w:val="Normal"/>
    <w:rsid w:val="005C7A7A"/>
    <w:pPr>
      <w:shd w:val="clear" w:color="000000" w:fill="FFF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7">
    <w:name w:val="xl77"/>
    <w:basedOn w:val="Normal"/>
    <w:rsid w:val="005C7A7A"/>
    <w:pPr>
      <w:shd w:val="clear" w:color="000000" w:fill="FFF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8">
    <w:name w:val="xl78"/>
    <w:basedOn w:val="Normal"/>
    <w:rsid w:val="005C7A7A"/>
    <w:pPr>
      <w:shd w:val="clear" w:color="000000" w:fill="FFF9C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9">
    <w:name w:val="xl79"/>
    <w:basedOn w:val="Normal"/>
    <w:rsid w:val="005C7A7A"/>
    <w:pPr>
      <w:shd w:val="clear" w:color="000000" w:fill="42A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5C7A7A"/>
    <w:pPr>
      <w:shd w:val="clear" w:color="000000" w:fill="42A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5C7A7A"/>
    <w:pPr>
      <w:shd w:val="clear" w:color="000000" w:fill="42A5F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5C7A7A"/>
    <w:pPr>
      <w:shd w:val="clear" w:color="000000" w:fill="BBDEF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5C7A7A"/>
    <w:pPr>
      <w:shd w:val="clear" w:color="000000" w:fill="BBDEF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5C7A7A"/>
    <w:pPr>
      <w:shd w:val="clear" w:color="000000" w:fill="A5D6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85">
    <w:name w:val="xl85"/>
    <w:basedOn w:val="Normal"/>
    <w:rsid w:val="005C7A7A"/>
    <w:pPr>
      <w:shd w:val="clear" w:color="000000" w:fill="A5D6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86">
    <w:name w:val="xl86"/>
    <w:basedOn w:val="Normal"/>
    <w:rsid w:val="005C7A7A"/>
    <w:pPr>
      <w:shd w:val="clear" w:color="000000" w:fill="A5D6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87">
    <w:name w:val="xl87"/>
    <w:basedOn w:val="Normal"/>
    <w:rsid w:val="005C7A7A"/>
    <w:pPr>
      <w:shd w:val="clear" w:color="000000" w:fill="A5D6A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88">
    <w:name w:val="xl88"/>
    <w:basedOn w:val="Normal"/>
    <w:rsid w:val="005C7A7A"/>
    <w:pPr>
      <w:shd w:val="clear" w:color="000000" w:fill="FFEB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9">
    <w:name w:val="xl89"/>
    <w:basedOn w:val="Normal"/>
    <w:rsid w:val="005C7A7A"/>
    <w:pPr>
      <w:shd w:val="clear" w:color="000000" w:fill="FFEB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90">
    <w:name w:val="xl90"/>
    <w:basedOn w:val="Normal"/>
    <w:rsid w:val="005C7A7A"/>
    <w:pPr>
      <w:shd w:val="clear" w:color="000000" w:fill="FFEBEE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91">
    <w:name w:val="xl91"/>
    <w:basedOn w:val="Normal"/>
    <w:rsid w:val="005C7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92">
    <w:name w:val="xl92"/>
    <w:basedOn w:val="Normal"/>
    <w:rsid w:val="005C7A7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93">
    <w:name w:val="xl93"/>
    <w:basedOn w:val="Normal"/>
    <w:rsid w:val="005C7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5C7A7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95">
    <w:name w:val="xl95"/>
    <w:basedOn w:val="Normal"/>
    <w:rsid w:val="005C7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96">
    <w:name w:val="xl96"/>
    <w:basedOn w:val="Normal"/>
    <w:rsid w:val="005C7A7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97">
    <w:name w:val="xl97"/>
    <w:basedOn w:val="Normal"/>
    <w:rsid w:val="005C7A7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9E78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5139</Words>
  <Characters>29296</Characters>
  <Application>Microsoft Office Word</Application>
  <DocSecurity>0</DocSecurity>
  <Lines>244</Lines>
  <Paragraphs>68</Paragraphs>
  <ScaleCrop>false</ScaleCrop>
  <Company/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Bogdanović</dc:creator>
  <cp:keywords/>
  <dc:description/>
  <cp:lastModifiedBy>Željka Šunjić</cp:lastModifiedBy>
  <cp:revision>6</cp:revision>
  <dcterms:created xsi:type="dcterms:W3CDTF">2024-06-26T06:17:00Z</dcterms:created>
  <dcterms:modified xsi:type="dcterms:W3CDTF">2024-06-26T06:53:00Z</dcterms:modified>
</cp:coreProperties>
</file>