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2338" w14:textId="77777777" w:rsidR="00D331CF" w:rsidRPr="00390238" w:rsidRDefault="00D331CF" w:rsidP="004B2728">
      <w:pPr>
        <w:pStyle w:val="Bezproreda"/>
        <w:spacing w:line="360" w:lineRule="auto"/>
        <w:rPr>
          <w:lang w:val="hr-HR"/>
        </w:rPr>
      </w:pPr>
    </w:p>
    <w:p w14:paraId="6BCF07C3" w14:textId="77777777" w:rsidR="00D331CF" w:rsidRPr="00390238" w:rsidRDefault="004A3318" w:rsidP="004B2728">
      <w:pPr>
        <w:pStyle w:val="Bezproreda"/>
        <w:spacing w:line="360" w:lineRule="auto"/>
        <w:rPr>
          <w:lang w:val="hr-HR"/>
        </w:rPr>
      </w:pPr>
      <w:r w:rsidRPr="00390238">
        <w:rPr>
          <w:lang w:val="hr-HR"/>
        </w:rPr>
        <w:t>PUČKO OTVORENO UČILIŠTE KRIŽEVCI</w:t>
      </w:r>
    </w:p>
    <w:p w14:paraId="0069BDC1" w14:textId="47C58495" w:rsidR="00D331CF" w:rsidRDefault="00A64798" w:rsidP="004B2728">
      <w:pPr>
        <w:pStyle w:val="Bezproreda"/>
        <w:spacing w:line="360" w:lineRule="auto"/>
        <w:rPr>
          <w:bCs/>
          <w:lang w:val="hr-HR"/>
        </w:rPr>
      </w:pPr>
      <w:r w:rsidRPr="00A64798">
        <w:rPr>
          <w:bCs/>
          <w:lang w:val="hr-HR"/>
        </w:rPr>
        <w:t>Klasa:</w:t>
      </w:r>
      <w:r>
        <w:rPr>
          <w:bCs/>
          <w:lang w:val="hr-HR"/>
        </w:rPr>
        <w:t xml:space="preserve"> </w:t>
      </w:r>
      <w:r w:rsidR="006248C2">
        <w:rPr>
          <w:bCs/>
          <w:lang w:val="hr-HR"/>
        </w:rPr>
        <w:t>400-04/24-01/003</w:t>
      </w:r>
    </w:p>
    <w:p w14:paraId="57B6C7E6" w14:textId="4DCFD3BA" w:rsidR="00AC07D0" w:rsidRDefault="00AC07D0" w:rsidP="004B2728">
      <w:pPr>
        <w:pStyle w:val="Bezproreda"/>
        <w:spacing w:line="360" w:lineRule="auto"/>
        <w:rPr>
          <w:bCs/>
          <w:lang w:val="hr-HR"/>
        </w:rPr>
      </w:pPr>
      <w:proofErr w:type="spellStart"/>
      <w:r>
        <w:rPr>
          <w:bCs/>
          <w:lang w:val="hr-HR"/>
        </w:rPr>
        <w:t>Urbroj</w:t>
      </w:r>
      <w:proofErr w:type="spellEnd"/>
      <w:r>
        <w:rPr>
          <w:bCs/>
          <w:lang w:val="hr-HR"/>
        </w:rPr>
        <w:t xml:space="preserve">: </w:t>
      </w:r>
      <w:r w:rsidR="006248C2">
        <w:rPr>
          <w:bCs/>
          <w:lang w:val="hr-HR"/>
        </w:rPr>
        <w:t>2137-81/24-01/001</w:t>
      </w:r>
    </w:p>
    <w:p w14:paraId="534B0613" w14:textId="546F57B5" w:rsidR="00AC07D0" w:rsidRDefault="00B926B2" w:rsidP="004B2728">
      <w:pPr>
        <w:pStyle w:val="Bezproreda"/>
        <w:spacing w:line="360" w:lineRule="auto"/>
        <w:rPr>
          <w:bCs/>
          <w:lang w:val="hr-HR"/>
        </w:rPr>
      </w:pPr>
      <w:r>
        <w:rPr>
          <w:bCs/>
          <w:lang w:val="hr-HR"/>
        </w:rPr>
        <w:t xml:space="preserve">Križevci, </w:t>
      </w:r>
      <w:r w:rsidR="006248C2">
        <w:rPr>
          <w:bCs/>
          <w:lang w:val="hr-HR"/>
        </w:rPr>
        <w:t>11. 7. 2024.</w:t>
      </w:r>
    </w:p>
    <w:p w14:paraId="6F612546" w14:textId="77777777" w:rsidR="00B926B2" w:rsidRPr="00A64798" w:rsidRDefault="00B926B2" w:rsidP="004B2728">
      <w:pPr>
        <w:pStyle w:val="Bezproreda"/>
        <w:spacing w:line="360" w:lineRule="auto"/>
        <w:rPr>
          <w:bCs/>
          <w:lang w:val="hr-HR"/>
        </w:rPr>
      </w:pPr>
    </w:p>
    <w:p w14:paraId="6C1B550D" w14:textId="40A9EC39" w:rsidR="00D331CF" w:rsidRPr="00390238" w:rsidRDefault="004A3318" w:rsidP="004B2728">
      <w:pPr>
        <w:pStyle w:val="Bezproreda"/>
        <w:spacing w:line="360" w:lineRule="auto"/>
        <w:rPr>
          <w:lang w:val="hr-HR"/>
        </w:rPr>
      </w:pPr>
      <w:r w:rsidRPr="00390238">
        <w:rPr>
          <w:lang w:val="hr-HR"/>
        </w:rPr>
        <w:tab/>
      </w:r>
      <w:r w:rsidRPr="00390238">
        <w:rPr>
          <w:lang w:val="hr-HR"/>
        </w:rPr>
        <w:tab/>
      </w:r>
    </w:p>
    <w:p w14:paraId="6F9AD56C" w14:textId="3A78B316" w:rsidR="00D331CF" w:rsidRPr="00390238" w:rsidRDefault="003F01BD" w:rsidP="004B2728">
      <w:pPr>
        <w:pStyle w:val="Bezproreda"/>
        <w:spacing w:line="360" w:lineRule="auto"/>
        <w:jc w:val="center"/>
        <w:rPr>
          <w:lang w:val="hr-HR"/>
        </w:rPr>
      </w:pPr>
      <w:r>
        <w:rPr>
          <w:sz w:val="44"/>
          <w:lang w:val="hr-HR"/>
        </w:rPr>
        <w:t>POLU</w:t>
      </w:r>
      <w:r w:rsidR="004A3318" w:rsidRPr="00390238">
        <w:rPr>
          <w:sz w:val="44"/>
          <w:lang w:val="hr-HR"/>
        </w:rPr>
        <w:t>GODIŠNJE IZVJEŠĆE</w:t>
      </w:r>
    </w:p>
    <w:p w14:paraId="21FA7A43" w14:textId="77777777" w:rsidR="00D331CF" w:rsidRPr="00390238" w:rsidRDefault="004A3318" w:rsidP="004B2728">
      <w:pPr>
        <w:pStyle w:val="Bezproreda"/>
        <w:spacing w:line="360" w:lineRule="auto"/>
        <w:jc w:val="center"/>
        <w:rPr>
          <w:lang w:val="hr-HR"/>
        </w:rPr>
      </w:pPr>
      <w:r w:rsidRPr="00390238">
        <w:rPr>
          <w:sz w:val="32"/>
          <w:lang w:val="hr-HR"/>
        </w:rPr>
        <w:t xml:space="preserve">O REALIZACIJI FINANCIJSKOG PLANA I PROGRAMA RADA </w:t>
      </w:r>
    </w:p>
    <w:p w14:paraId="213110B8" w14:textId="77777777" w:rsidR="00D331CF" w:rsidRPr="00390238" w:rsidRDefault="004A3318" w:rsidP="004B2728">
      <w:pPr>
        <w:pStyle w:val="Bezproreda"/>
        <w:spacing w:line="360" w:lineRule="auto"/>
        <w:jc w:val="center"/>
        <w:rPr>
          <w:lang w:val="hr-HR"/>
        </w:rPr>
      </w:pPr>
      <w:r w:rsidRPr="00390238">
        <w:rPr>
          <w:sz w:val="32"/>
          <w:lang w:val="hr-HR"/>
        </w:rPr>
        <w:t>PUČKOG OTVORENOG UČILIŠTA KRIŽEVCI</w:t>
      </w:r>
    </w:p>
    <w:p w14:paraId="2B433BA9" w14:textId="2697B41F" w:rsidR="00D331CF" w:rsidRPr="00EC50DB" w:rsidRDefault="004A3318" w:rsidP="004B2728">
      <w:pPr>
        <w:pStyle w:val="Bezproreda"/>
        <w:numPr>
          <w:ilvl w:val="0"/>
          <w:numId w:val="1"/>
        </w:numPr>
        <w:spacing w:line="360" w:lineRule="auto"/>
        <w:jc w:val="center"/>
        <w:rPr>
          <w:lang w:val="hr-HR"/>
        </w:rPr>
      </w:pPr>
      <w:r w:rsidRPr="00390238">
        <w:rPr>
          <w:sz w:val="32"/>
          <w:lang w:val="hr-HR"/>
        </w:rPr>
        <w:t>siječnja 202</w:t>
      </w:r>
      <w:r w:rsidR="009B0A7F">
        <w:rPr>
          <w:sz w:val="32"/>
          <w:lang w:val="hr-HR"/>
        </w:rPr>
        <w:t>4</w:t>
      </w:r>
      <w:r w:rsidRPr="00390238">
        <w:rPr>
          <w:sz w:val="32"/>
          <w:lang w:val="hr-HR"/>
        </w:rPr>
        <w:t>. – 3</w:t>
      </w:r>
      <w:r w:rsidR="009B0A7F">
        <w:rPr>
          <w:sz w:val="32"/>
          <w:lang w:val="hr-HR"/>
        </w:rPr>
        <w:t>0</w:t>
      </w:r>
      <w:r w:rsidR="00F965ED">
        <w:rPr>
          <w:sz w:val="32"/>
          <w:lang w:val="hr-HR"/>
        </w:rPr>
        <w:t xml:space="preserve">. </w:t>
      </w:r>
      <w:r w:rsidR="009B0A7F">
        <w:rPr>
          <w:sz w:val="32"/>
          <w:lang w:val="hr-HR"/>
        </w:rPr>
        <w:t>lipnj</w:t>
      </w:r>
      <w:r w:rsidR="00F965ED">
        <w:rPr>
          <w:sz w:val="32"/>
          <w:lang w:val="hr-HR"/>
        </w:rPr>
        <w:t xml:space="preserve">a </w:t>
      </w:r>
      <w:r w:rsidRPr="00390238">
        <w:rPr>
          <w:sz w:val="32"/>
          <w:lang w:val="hr-HR"/>
        </w:rPr>
        <w:t>202</w:t>
      </w:r>
      <w:r w:rsidR="009B0A7F">
        <w:rPr>
          <w:sz w:val="32"/>
          <w:lang w:val="hr-HR"/>
        </w:rPr>
        <w:t>4</w:t>
      </w:r>
      <w:r w:rsidR="00F06734" w:rsidRPr="00390238">
        <w:rPr>
          <w:sz w:val="32"/>
          <w:lang w:val="hr-HR"/>
        </w:rPr>
        <w:t xml:space="preserve">. </w:t>
      </w:r>
      <w:r w:rsidRPr="00390238">
        <w:rPr>
          <w:sz w:val="32"/>
          <w:lang w:val="hr-HR"/>
        </w:rPr>
        <w:t>godine</w:t>
      </w:r>
    </w:p>
    <w:p w14:paraId="4D549531" w14:textId="77777777" w:rsidR="00D331CF" w:rsidRPr="00390238" w:rsidRDefault="00D331CF" w:rsidP="004B2728">
      <w:pPr>
        <w:pStyle w:val="Bezproreda"/>
        <w:spacing w:line="360" w:lineRule="auto"/>
        <w:rPr>
          <w:lang w:val="hr-HR"/>
        </w:rPr>
      </w:pPr>
    </w:p>
    <w:tbl>
      <w:tblPr>
        <w:tblW w:w="9622" w:type="dxa"/>
        <w:tblLayout w:type="fixed"/>
        <w:tblLook w:val="04A0" w:firstRow="1" w:lastRow="0" w:firstColumn="1" w:lastColumn="0" w:noHBand="0" w:noVBand="1"/>
      </w:tblPr>
      <w:tblGrid>
        <w:gridCol w:w="4219"/>
        <w:gridCol w:w="5403"/>
      </w:tblGrid>
      <w:tr w:rsidR="00D331CF" w:rsidRPr="00390238" w14:paraId="4384A243" w14:textId="77777777"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EC47A0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Podaci o ustanovi</w:t>
            </w:r>
          </w:p>
        </w:tc>
      </w:tr>
      <w:tr w:rsidR="00D331CF" w:rsidRPr="00390238" w14:paraId="6EA81758" w14:textId="77777777">
        <w:trPr>
          <w:trHeight w:val="64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B5B6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Naziv ustanove: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EB00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PUČKO OTVORENO UČILIŠTE KRIŽEVCI</w:t>
            </w:r>
          </w:p>
        </w:tc>
      </w:tr>
      <w:tr w:rsidR="00D331CF" w:rsidRPr="00390238" w14:paraId="30579353" w14:textId="77777777">
        <w:trPr>
          <w:trHeight w:val="5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7B96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Sjedište ustanove: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2509" w14:textId="7A30DAEC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Trg sv. Florijana 14, KRIŽEVCI</w:t>
            </w:r>
          </w:p>
        </w:tc>
      </w:tr>
      <w:tr w:rsidR="00D331CF" w:rsidRPr="00390238" w14:paraId="706722BA" w14:textId="77777777">
        <w:trPr>
          <w:trHeight w:val="30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B4D0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Matični broj /OIB: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B59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3003426 /69478236897</w:t>
            </w:r>
          </w:p>
        </w:tc>
      </w:tr>
      <w:tr w:rsidR="00D331CF" w:rsidRPr="00390238" w14:paraId="275462D2" w14:textId="77777777">
        <w:trPr>
          <w:trHeight w:val="30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1AE7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Ime i prezime osobe ovlaštene za zastupanje (ravnatelj/</w:t>
            </w:r>
            <w:proofErr w:type="spellStart"/>
            <w:r w:rsidRPr="00390238">
              <w:rPr>
                <w:lang w:val="hr-HR"/>
              </w:rPr>
              <w:t>ica</w:t>
            </w:r>
            <w:proofErr w:type="spellEnd"/>
            <w:r w:rsidRPr="00390238">
              <w:rPr>
                <w:lang w:val="hr-HR"/>
              </w:rPr>
              <w:t>, zapovjednik, predsjednik)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B4CA" w14:textId="77777777" w:rsidR="00EC50DB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Željka Šunjić, prof.</w:t>
            </w:r>
            <w:r w:rsidR="00EC50DB">
              <w:rPr>
                <w:lang w:val="hr-HR"/>
              </w:rPr>
              <w:t xml:space="preserve">, </w:t>
            </w:r>
          </w:p>
          <w:p w14:paraId="7A1F8C40" w14:textId="716441F8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RAVNATELJICA</w:t>
            </w:r>
          </w:p>
        </w:tc>
      </w:tr>
      <w:tr w:rsidR="00D331CF" w:rsidRPr="00390238" w14:paraId="3FBAF9BE" w14:textId="77777777">
        <w:trPr>
          <w:trHeight w:val="30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798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Telefon: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E318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711 – 212</w:t>
            </w:r>
          </w:p>
        </w:tc>
      </w:tr>
      <w:tr w:rsidR="00D331CF" w:rsidRPr="00390238" w14:paraId="188C2F32" w14:textId="77777777">
        <w:trPr>
          <w:trHeight w:val="2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C8B1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e-pošta: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D988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ravnateljica@pou-krizevci.hr</w:t>
            </w:r>
          </w:p>
        </w:tc>
      </w:tr>
      <w:tr w:rsidR="00D331CF" w:rsidRPr="00390238" w14:paraId="48DAFE5A" w14:textId="77777777"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B5439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Djelatnost ustanove</w:t>
            </w:r>
          </w:p>
        </w:tc>
      </w:tr>
      <w:tr w:rsidR="00D331CF" w:rsidRPr="00390238" w14:paraId="667A0583" w14:textId="77777777">
        <w:trPr>
          <w:trHeight w:val="1280"/>
        </w:trPr>
        <w:tc>
          <w:tcPr>
            <w:tcW w:w="9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8EE6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Pučko otvoreno učilište pravni je sljednik Narodnog sveučilišta Križevci.</w:t>
            </w:r>
          </w:p>
          <w:p w14:paraId="3DE2DCFB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Djelatnosti: organiziranje kazališnih, glazbenih, izložbenih i drugih kulturnih događanja, obrazovanje odraslih, djelatnost amaterskog kazališta, organiziranje i promicanje svih oblika kulturnog i umjetničkog stvaralaštva i javnog informiranja, izdavačka djelatnost...</w:t>
            </w:r>
          </w:p>
          <w:p w14:paraId="43445157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Zakonski akti po kojima se djeluje: Zakon o ustanovama, Zakon o pučkim otvorenim učilištima,  Zakon o obrazovanju odraslih, Zakon o radu</w:t>
            </w:r>
          </w:p>
          <w:p w14:paraId="2EF14D60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 xml:space="preserve">Osnivački akt: Odluka o utvrđivanju osnivačkih prava i obveza prema Pučkom otvorenom učilištu Križevci </w:t>
            </w:r>
            <w:r w:rsidRPr="00390238">
              <w:rPr>
                <w:lang w:val="hr-HR"/>
              </w:rPr>
              <w:lastRenderedPageBreak/>
              <w:t>(1994.)</w:t>
            </w:r>
          </w:p>
          <w:p w14:paraId="6F77EADD" w14:textId="48434E4D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Statut Pučkog otvorenog učilišta Križevci</w:t>
            </w:r>
          </w:p>
        </w:tc>
      </w:tr>
    </w:tbl>
    <w:p w14:paraId="72325BB6" w14:textId="19F64417" w:rsidR="00D331CF" w:rsidRPr="00390238" w:rsidRDefault="00D331CF" w:rsidP="004B2728">
      <w:pPr>
        <w:pStyle w:val="Bezproreda"/>
        <w:spacing w:line="360" w:lineRule="auto"/>
        <w:rPr>
          <w:lang w:val="hr-HR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D331CF" w:rsidRPr="00390238" w14:paraId="2DEE2716" w14:textId="77777777">
        <w:trPr>
          <w:trHeight w:val="113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54F41" w14:textId="77777777" w:rsidR="00D331CF" w:rsidRPr="00390238" w:rsidRDefault="004A3318" w:rsidP="004B2728">
            <w:pPr>
              <w:pStyle w:val="Bezproreda"/>
              <w:pageBreakBefore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lastRenderedPageBreak/>
              <w:t>Ljudski resursi</w:t>
            </w:r>
          </w:p>
        </w:tc>
      </w:tr>
      <w:tr w:rsidR="00D331CF" w:rsidRPr="00390238" w14:paraId="519D698F" w14:textId="77777777">
        <w:trPr>
          <w:trHeight w:val="154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52DB" w14:textId="1DB425E1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 xml:space="preserve">Učilište ima </w:t>
            </w:r>
            <w:r w:rsidR="00F858C9" w:rsidRPr="00390238">
              <w:rPr>
                <w:lang w:val="hr-HR"/>
              </w:rPr>
              <w:t>petero</w:t>
            </w:r>
            <w:r w:rsidRPr="00390238">
              <w:rPr>
                <w:lang w:val="hr-HR"/>
              </w:rPr>
              <w:t xml:space="preserve"> zaposlenih:  računovotkinja (SSS), </w:t>
            </w:r>
            <w:r w:rsidR="00F858C9" w:rsidRPr="00390238">
              <w:rPr>
                <w:lang w:val="hr-HR"/>
              </w:rPr>
              <w:t xml:space="preserve">računovodstvena referentica/tajnica (SSS), </w:t>
            </w:r>
            <w:r w:rsidRPr="00390238">
              <w:rPr>
                <w:lang w:val="hr-HR"/>
              </w:rPr>
              <w:t xml:space="preserve">stručna suradnica za programe u obrazovanju </w:t>
            </w:r>
            <w:r w:rsidR="00683E75" w:rsidRPr="00390238">
              <w:rPr>
                <w:lang w:val="hr-HR"/>
              </w:rPr>
              <w:t>i</w:t>
            </w:r>
            <w:r w:rsidRPr="00390238">
              <w:rPr>
                <w:lang w:val="hr-HR"/>
              </w:rPr>
              <w:t xml:space="preserve"> kulturi (VSS), referent za opće poslove i vođenje dvorana (SSS) i ravnateljica</w:t>
            </w:r>
            <w:r w:rsidR="00B70AF6">
              <w:rPr>
                <w:lang w:val="hr-HR"/>
              </w:rPr>
              <w:t xml:space="preserve"> </w:t>
            </w:r>
            <w:r w:rsidRPr="00390238">
              <w:rPr>
                <w:lang w:val="hr-HR"/>
              </w:rPr>
              <w:t xml:space="preserve">(VSS). Plaće zaposlenih i ostala prava za zaposlene regulirani su Kolektivnim ugovorom za zaposlenike u ustanovama kulture Grada Križevaca  i drugim materijalnim pravima zaposlenika Pučkog otvorenog učilišta Križevci i financiraju se iz gradskog proračuna. </w:t>
            </w:r>
          </w:p>
        </w:tc>
      </w:tr>
      <w:tr w:rsidR="00D331CF" w:rsidRPr="00390238" w14:paraId="2FC6AD3C" w14:textId="77777777" w:rsidTr="008E6CB4">
        <w:trPr>
          <w:trHeight w:val="113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EE7702A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Realizacija programa</w:t>
            </w:r>
          </w:p>
        </w:tc>
      </w:tr>
      <w:tr w:rsidR="00D331CF" w:rsidRPr="00390238" w14:paraId="1FF1E009" w14:textId="77777777" w:rsidTr="008E6CB4">
        <w:trPr>
          <w:trHeight w:val="1447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68D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 xml:space="preserve">Djelovanje i rad ustanova provodi kroz svoje osnovne djelatnosti – djelatnost kulturnih programa i javnog informiranja i djelatnost obrazovanja. Kroz djelatnost  kulturnih programa i javnog informiranja provode se i organiziraju kazališna i glazbena gostovanja, organiziraju se predstavljanja knjiga, tribine i predavanja te programi kazališnog amaterizma, tradicijske kulture, izdavaštva itd. Programska djelatnost gradskih manifestacija podrazumijeva organiziranje raznih događanja i programa vezanih uz pojedine datume i događaje čije je obilježavanje od interesa za Grad. Programi ovih djelatnosti financiraju se iz Gradskog proračuna, dok dio sredstava za pojedine programe proizlazi i iz programa financiranja javnih potreba u kulturi Ministarstva kulture i županije. U svim programima koje organizira Pučko otvoreno učilište Križevci sudjeluje i vlastitim sredstvima. </w:t>
            </w:r>
          </w:p>
          <w:p w14:paraId="749844AB" w14:textId="77777777" w:rsidR="00D331CF" w:rsidRPr="00390238" w:rsidRDefault="00D331CF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</w:p>
          <w:p w14:paraId="108F414B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 xml:space="preserve">Kako Učilište upravlja Velikom dvoranom Hrvatskog doma, Podrumskom dvoranom Hrvatskog doma, Vidikovcem na tornju Hrvatskog doma, Kinom Križevci te Višenamjenskom informatičkom učionicom, izvještaj će biti sastavljen prema aktivnostima u </w:t>
            </w:r>
            <w:r w:rsidRPr="00390238">
              <w:rPr>
                <w:rFonts w:eastAsia="Calibri"/>
                <w:lang w:val="hr-HR"/>
              </w:rPr>
              <w:t>tim</w:t>
            </w:r>
            <w:r w:rsidRPr="00390238">
              <w:rPr>
                <w:lang w:val="hr-HR"/>
              </w:rPr>
              <w:t xml:space="preserve"> prostorima, dok su poseban segment obrazovanje odraslih, projekti i Križevačko spravišče.</w:t>
            </w:r>
          </w:p>
          <w:p w14:paraId="62C8A6BF" w14:textId="77777777" w:rsidR="00D331CF" w:rsidRPr="00390238" w:rsidRDefault="00D331CF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</w:p>
          <w:p w14:paraId="23D7C9FA" w14:textId="78DF36C7" w:rsidR="00683E75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b/>
                <w:bCs/>
                <w:lang w:val="hr-HR"/>
              </w:rPr>
            </w:pPr>
            <w:r w:rsidRPr="00390238">
              <w:rPr>
                <w:b/>
                <w:bCs/>
                <w:lang w:val="hr-HR"/>
              </w:rPr>
              <w:t>VELIKA DVORANA HRVATSKOG DOMA</w:t>
            </w:r>
          </w:p>
          <w:p w14:paraId="3AC7E0F5" w14:textId="38668C49" w:rsidR="00A9268A" w:rsidRDefault="00681B79" w:rsidP="00FF603E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 xml:space="preserve">Programi u Velikoj dvorani započeli </w:t>
            </w:r>
            <w:r w:rsidR="002E6DDC" w:rsidRPr="00390238">
              <w:rPr>
                <w:lang w:val="hr-HR"/>
              </w:rPr>
              <w:t xml:space="preserve">su </w:t>
            </w:r>
            <w:r w:rsidR="00B55702">
              <w:rPr>
                <w:lang w:val="hr-HR"/>
              </w:rPr>
              <w:t>20</w:t>
            </w:r>
            <w:r w:rsidR="007001BA" w:rsidRPr="00390238">
              <w:rPr>
                <w:lang w:val="hr-HR"/>
              </w:rPr>
              <w:t>.</w:t>
            </w:r>
            <w:r w:rsidR="0006778C" w:rsidRPr="00390238">
              <w:rPr>
                <w:lang w:val="hr-HR"/>
              </w:rPr>
              <w:t xml:space="preserve"> </w:t>
            </w:r>
            <w:r w:rsidR="007001BA" w:rsidRPr="00390238">
              <w:rPr>
                <w:lang w:val="hr-HR"/>
              </w:rPr>
              <w:t>1.</w:t>
            </w:r>
            <w:r w:rsidR="0006778C" w:rsidRPr="00390238">
              <w:rPr>
                <w:lang w:val="hr-HR"/>
              </w:rPr>
              <w:t xml:space="preserve"> </w:t>
            </w:r>
            <w:r w:rsidR="007001BA" w:rsidRPr="00390238">
              <w:rPr>
                <w:lang w:val="hr-HR"/>
              </w:rPr>
              <w:t>202</w:t>
            </w:r>
            <w:r w:rsidR="00B55702">
              <w:rPr>
                <w:lang w:val="hr-HR"/>
              </w:rPr>
              <w:t>4</w:t>
            </w:r>
            <w:r w:rsidR="002E6DDC" w:rsidRPr="00390238">
              <w:rPr>
                <w:lang w:val="hr-HR"/>
              </w:rPr>
              <w:t xml:space="preserve">. </w:t>
            </w:r>
            <w:r w:rsidR="00460766">
              <w:rPr>
                <w:lang w:val="hr-HR"/>
              </w:rPr>
              <w:t>Izbor</w:t>
            </w:r>
            <w:r w:rsidR="00C84972">
              <w:rPr>
                <w:lang w:val="hr-HR"/>
              </w:rPr>
              <w:t>om</w:t>
            </w:r>
            <w:r w:rsidR="00460766">
              <w:rPr>
                <w:lang w:val="hr-HR"/>
              </w:rPr>
              <w:t xml:space="preserve"> nabolje </w:t>
            </w:r>
            <w:r w:rsidR="00535D4A">
              <w:rPr>
                <w:lang w:val="hr-HR"/>
              </w:rPr>
              <w:t>vinske fotografije u organizacij</w:t>
            </w:r>
            <w:r w:rsidR="00E74FE6">
              <w:rPr>
                <w:lang w:val="hr-HR"/>
              </w:rPr>
              <w:t>i</w:t>
            </w:r>
            <w:r w:rsidR="00535D4A">
              <w:rPr>
                <w:lang w:val="hr-HR"/>
              </w:rPr>
              <w:t xml:space="preserve"> udruge Križevački </w:t>
            </w:r>
            <w:proofErr w:type="spellStart"/>
            <w:r w:rsidR="00535D4A">
              <w:rPr>
                <w:lang w:val="hr-HR"/>
              </w:rPr>
              <w:t>štatuti</w:t>
            </w:r>
            <w:proofErr w:type="spellEnd"/>
            <w:r w:rsidR="00E74FE6">
              <w:rPr>
                <w:lang w:val="hr-HR"/>
              </w:rPr>
              <w:t xml:space="preserve"> dok su veljaču obilježila sljedeća doga</w:t>
            </w:r>
            <w:r w:rsidR="00E279E4">
              <w:rPr>
                <w:lang w:val="hr-HR"/>
              </w:rPr>
              <w:t>đanja</w:t>
            </w:r>
            <w:r w:rsidR="00F01846">
              <w:rPr>
                <w:lang w:val="hr-HR"/>
              </w:rPr>
              <w:t>: koncert Erica Vidovića povodom Valentinova</w:t>
            </w:r>
            <w:r w:rsidR="00742564">
              <w:rPr>
                <w:lang w:val="hr-HR"/>
              </w:rPr>
              <w:t xml:space="preserve">, 14.2.2024. u organizaciji Pučkog otvorenog učilišta Križevci uz prigodno fotografiranje </w:t>
            </w:r>
            <w:r w:rsidR="005232C1">
              <w:rPr>
                <w:lang w:val="hr-HR"/>
              </w:rPr>
              <w:t xml:space="preserve">parova </w:t>
            </w:r>
            <w:r w:rsidR="00742564">
              <w:rPr>
                <w:lang w:val="hr-HR"/>
              </w:rPr>
              <w:t xml:space="preserve"> </w:t>
            </w:r>
            <w:proofErr w:type="spellStart"/>
            <w:r w:rsidR="00742564">
              <w:rPr>
                <w:lang w:val="hr-HR"/>
              </w:rPr>
              <w:t>Studia</w:t>
            </w:r>
            <w:proofErr w:type="spellEnd"/>
            <w:r w:rsidR="00742564">
              <w:rPr>
                <w:lang w:val="hr-HR"/>
              </w:rPr>
              <w:t xml:space="preserve"> Vektor Media Vedrana Vlahovića</w:t>
            </w:r>
            <w:r w:rsidR="00C01243">
              <w:rPr>
                <w:lang w:val="hr-HR"/>
              </w:rPr>
              <w:t xml:space="preserve"> te 17.2.2024.</w:t>
            </w:r>
            <w:r w:rsidR="00682E63">
              <w:rPr>
                <w:lang w:val="hr-HR"/>
              </w:rPr>
              <w:t xml:space="preserve"> </w:t>
            </w:r>
            <w:proofErr w:type="spellStart"/>
            <w:r w:rsidR="00682E63">
              <w:rPr>
                <w:lang w:val="hr-HR"/>
              </w:rPr>
              <w:t>s</w:t>
            </w:r>
            <w:r w:rsidR="00C01243">
              <w:rPr>
                <w:lang w:val="hr-HR"/>
              </w:rPr>
              <w:t>tand</w:t>
            </w:r>
            <w:proofErr w:type="spellEnd"/>
            <w:r w:rsidR="00C01243">
              <w:rPr>
                <w:lang w:val="hr-HR"/>
              </w:rPr>
              <w:t xml:space="preserve"> </w:t>
            </w:r>
            <w:proofErr w:type="spellStart"/>
            <w:r w:rsidR="00C01243">
              <w:rPr>
                <w:lang w:val="hr-HR"/>
              </w:rPr>
              <w:t>up</w:t>
            </w:r>
            <w:proofErr w:type="spellEnd"/>
            <w:r w:rsidR="00C01243">
              <w:rPr>
                <w:lang w:val="hr-HR"/>
              </w:rPr>
              <w:t xml:space="preserve"> Goran</w:t>
            </w:r>
            <w:r w:rsidR="00682E63">
              <w:rPr>
                <w:lang w:val="hr-HR"/>
              </w:rPr>
              <w:t>a</w:t>
            </w:r>
            <w:r w:rsidR="00C01243">
              <w:rPr>
                <w:lang w:val="hr-HR"/>
              </w:rPr>
              <w:t xml:space="preserve"> </w:t>
            </w:r>
            <w:proofErr w:type="spellStart"/>
            <w:r w:rsidR="00C01243">
              <w:rPr>
                <w:lang w:val="hr-HR"/>
              </w:rPr>
              <w:t>Vinčić</w:t>
            </w:r>
            <w:r w:rsidR="00682E63">
              <w:rPr>
                <w:lang w:val="hr-HR"/>
              </w:rPr>
              <w:t>a</w:t>
            </w:r>
            <w:proofErr w:type="spellEnd"/>
            <w:r w:rsidR="00A21673">
              <w:rPr>
                <w:lang w:val="hr-HR"/>
              </w:rPr>
              <w:t xml:space="preserve"> u organizaciji obrta Dobar izlazak.</w:t>
            </w:r>
            <w:r w:rsidR="0072512C">
              <w:rPr>
                <w:lang w:val="hr-HR"/>
              </w:rPr>
              <w:t xml:space="preserve"> Kulturna događanja u ožujku</w:t>
            </w:r>
            <w:r w:rsidR="008E0114">
              <w:rPr>
                <w:lang w:val="hr-HR"/>
              </w:rPr>
              <w:t xml:space="preserve"> su bila sljedeća</w:t>
            </w:r>
            <w:r w:rsidR="00422A7C">
              <w:rPr>
                <w:lang w:val="hr-HR"/>
              </w:rPr>
              <w:t xml:space="preserve">: </w:t>
            </w:r>
            <w:r w:rsidR="00322993">
              <w:rPr>
                <w:lang w:val="hr-HR"/>
              </w:rPr>
              <w:t xml:space="preserve">8.3. predstava Otvoreni brak u organizaciji udruge KVARK, 9.3. KONCERT Gradskog </w:t>
            </w:r>
            <w:r w:rsidR="00330DB7">
              <w:rPr>
                <w:lang w:val="hr-HR"/>
              </w:rPr>
              <w:t>puhaćeg</w:t>
            </w:r>
            <w:r w:rsidR="007F1C15">
              <w:rPr>
                <w:lang w:val="hr-HR"/>
              </w:rPr>
              <w:t xml:space="preserve"> orkestra Križevci te 23.3. nastup Mađioničara Leona- prigodni program za najmlađe.</w:t>
            </w:r>
          </w:p>
          <w:p w14:paraId="457EAC8E" w14:textId="410AFF7E" w:rsidR="00B76501" w:rsidRDefault="00B76501" w:rsidP="00FF603E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Kao i svake godine, travanj i svibanj obiluju s najviše kulturnih događanja (predstave, koncerti, svečanosti) pa su tako uslijedili</w:t>
            </w:r>
            <w:r w:rsidR="00167648">
              <w:rPr>
                <w:lang w:val="hr-HR"/>
              </w:rPr>
              <w:t>: 8.4. Koncert orkestra mladih glazbenika</w:t>
            </w:r>
            <w:r w:rsidR="0057680C">
              <w:rPr>
                <w:lang w:val="hr-HR"/>
              </w:rPr>
              <w:t>, 21.4. predstava Šetači pasa Kazališne družine Tragači</w:t>
            </w:r>
            <w:r w:rsidR="005B50CF">
              <w:rPr>
                <w:lang w:val="hr-HR"/>
              </w:rPr>
              <w:t xml:space="preserve"> u organizaciji Pučkog otvorenog učilišta Križevci )predstava je bila </w:t>
            </w:r>
            <w:r w:rsidR="00330DB7">
              <w:rPr>
                <w:lang w:val="hr-HR"/>
              </w:rPr>
              <w:t>besplatna</w:t>
            </w:r>
            <w:r w:rsidR="005B50CF">
              <w:rPr>
                <w:lang w:val="hr-HR"/>
              </w:rPr>
              <w:t xml:space="preserve"> za građane, a upriličena je </w:t>
            </w:r>
            <w:r w:rsidR="00133705">
              <w:rPr>
                <w:lang w:val="hr-HR"/>
              </w:rPr>
              <w:t xml:space="preserve">povodom Dana grada), 22.4. promocije knjige Tanje </w:t>
            </w:r>
            <w:proofErr w:type="spellStart"/>
            <w:r w:rsidR="00133705">
              <w:rPr>
                <w:lang w:val="hr-HR"/>
              </w:rPr>
              <w:t>Baranj</w:t>
            </w:r>
            <w:proofErr w:type="spellEnd"/>
            <w:r w:rsidR="00133705">
              <w:rPr>
                <w:lang w:val="hr-HR"/>
              </w:rPr>
              <w:t>,</w:t>
            </w:r>
            <w:r w:rsidR="00A91A8D">
              <w:rPr>
                <w:lang w:val="hr-HR"/>
              </w:rPr>
              <w:t xml:space="preserve"> 24.4. Svečana sjednica Gradskog </w:t>
            </w:r>
            <w:r w:rsidR="00A91A8D">
              <w:rPr>
                <w:lang w:val="hr-HR"/>
              </w:rPr>
              <w:lastRenderedPageBreak/>
              <w:t xml:space="preserve">vijeća, 26.4. nastup dramske skupine Kolibrići, </w:t>
            </w:r>
            <w:r w:rsidR="0080013B">
              <w:rPr>
                <w:lang w:val="hr-HR"/>
              </w:rPr>
              <w:t>te jesu vikend 27.4. i 28. 4. obilježili</w:t>
            </w:r>
            <w:r w:rsidR="000204AD">
              <w:rPr>
                <w:lang w:val="hr-HR"/>
              </w:rPr>
              <w:t xml:space="preserve"> Dječji </w:t>
            </w:r>
            <w:proofErr w:type="spellStart"/>
            <w:r w:rsidR="000204AD">
              <w:rPr>
                <w:lang w:val="hr-HR"/>
              </w:rPr>
              <w:t>Kranjčić</w:t>
            </w:r>
            <w:proofErr w:type="spellEnd"/>
            <w:r w:rsidR="000204AD">
              <w:rPr>
                <w:lang w:val="hr-HR"/>
              </w:rPr>
              <w:t>- biranje dječjih literarnih radova na istoimenu tematiku</w:t>
            </w:r>
            <w:r w:rsidR="00CE5E9D">
              <w:rPr>
                <w:lang w:val="hr-HR"/>
              </w:rPr>
              <w:t>, 150 obljetnica DVD Križevci i Sonus</w:t>
            </w:r>
            <w:r w:rsidR="00422083">
              <w:rPr>
                <w:lang w:val="hr-HR"/>
              </w:rPr>
              <w:t xml:space="preserve"> </w:t>
            </w:r>
            <w:r w:rsidR="006B6771">
              <w:rPr>
                <w:lang w:val="hr-HR"/>
              </w:rPr>
              <w:t>festival</w:t>
            </w:r>
            <w:r w:rsidR="00422083">
              <w:rPr>
                <w:lang w:val="hr-HR"/>
              </w:rPr>
              <w:t xml:space="preserve">- međunarodni </w:t>
            </w:r>
            <w:r w:rsidR="00330DB7">
              <w:rPr>
                <w:lang w:val="hr-HR"/>
              </w:rPr>
              <w:t>glazbeni festival komornih sastava i orkestara</w:t>
            </w:r>
            <w:r w:rsidR="00E50AF0">
              <w:rPr>
                <w:lang w:val="hr-HR"/>
              </w:rPr>
              <w:t xml:space="preserve">, 9.5. Podjela završenih studenata VUK-a, 11.5. koncert </w:t>
            </w:r>
            <w:proofErr w:type="spellStart"/>
            <w:r w:rsidR="00E50AF0">
              <w:rPr>
                <w:lang w:val="hr-HR"/>
              </w:rPr>
              <w:t>Hpd</w:t>
            </w:r>
            <w:r w:rsidR="00FC4140">
              <w:rPr>
                <w:lang w:val="hr-HR"/>
              </w:rPr>
              <w:t>-a</w:t>
            </w:r>
            <w:proofErr w:type="spellEnd"/>
            <w:r w:rsidR="00FC4140">
              <w:rPr>
                <w:lang w:val="hr-HR"/>
              </w:rPr>
              <w:t xml:space="preserve"> povodom 160 godina zborskog pjevanja uz prigodnu izložbu</w:t>
            </w:r>
            <w:r w:rsidR="0017289F">
              <w:rPr>
                <w:lang w:val="hr-HR"/>
              </w:rPr>
              <w:t xml:space="preserve">, 12.5. </w:t>
            </w:r>
            <w:proofErr w:type="spellStart"/>
            <w:r w:rsidR="0017289F">
              <w:rPr>
                <w:lang w:val="hr-HR"/>
              </w:rPr>
              <w:t>Stand</w:t>
            </w:r>
            <w:proofErr w:type="spellEnd"/>
            <w:r w:rsidR="0017289F">
              <w:rPr>
                <w:lang w:val="hr-HR"/>
              </w:rPr>
              <w:t xml:space="preserve"> </w:t>
            </w:r>
            <w:proofErr w:type="spellStart"/>
            <w:r w:rsidR="0017289F">
              <w:rPr>
                <w:lang w:val="hr-HR"/>
              </w:rPr>
              <w:t>up</w:t>
            </w:r>
            <w:proofErr w:type="spellEnd"/>
            <w:r w:rsidR="0017289F">
              <w:rPr>
                <w:lang w:val="hr-HR"/>
              </w:rPr>
              <w:t xml:space="preserve"> Tina Sedlara u organizaciji obrta Dobar izlazak, 17.5</w:t>
            </w:r>
            <w:r w:rsidR="00BA0F83">
              <w:rPr>
                <w:lang w:val="hr-HR"/>
              </w:rPr>
              <w:t>. priredba Centra za odgoj, obrazovanje</w:t>
            </w:r>
            <w:r w:rsidR="00101E25">
              <w:rPr>
                <w:lang w:val="hr-HR"/>
              </w:rPr>
              <w:t xml:space="preserve"> i rehabilitaciju Križevci</w:t>
            </w:r>
            <w:r w:rsidR="002D318E">
              <w:rPr>
                <w:lang w:val="hr-HR"/>
              </w:rPr>
              <w:t xml:space="preserve">, 24.5. </w:t>
            </w:r>
            <w:r w:rsidR="00DD4EB8">
              <w:rPr>
                <w:lang w:val="hr-HR"/>
              </w:rPr>
              <w:t>priredba</w:t>
            </w:r>
            <w:r w:rsidR="002D318E">
              <w:rPr>
                <w:lang w:val="hr-HR"/>
              </w:rPr>
              <w:t xml:space="preserve"> Dječjeg vrtića Križevci, </w:t>
            </w:r>
            <w:r w:rsidR="00B24C7F">
              <w:rPr>
                <w:lang w:val="hr-HR"/>
              </w:rPr>
              <w:t>28.5. opera za djecu i mlade Regoč</w:t>
            </w:r>
            <w:r w:rsidR="0042395A">
              <w:rPr>
                <w:lang w:val="hr-HR"/>
              </w:rPr>
              <w:t xml:space="preserve"> te posljednja predstava u mjesecu u organizaciji Teatra </w:t>
            </w:r>
            <w:proofErr w:type="spellStart"/>
            <w:r w:rsidR="0042395A">
              <w:rPr>
                <w:lang w:val="hr-HR"/>
              </w:rPr>
              <w:t>Poccolocco</w:t>
            </w:r>
            <w:proofErr w:type="spellEnd"/>
            <w:r w:rsidR="0042395A">
              <w:rPr>
                <w:lang w:val="hr-HR"/>
              </w:rPr>
              <w:t xml:space="preserve"> i Pučkog otvorenog učilišta Križevci</w:t>
            </w:r>
            <w:r w:rsidR="00797BE2">
              <w:rPr>
                <w:lang w:val="hr-HR"/>
              </w:rPr>
              <w:t xml:space="preserve">, 29.5. Male </w:t>
            </w:r>
            <w:proofErr w:type="spellStart"/>
            <w:r w:rsidR="00797BE2">
              <w:rPr>
                <w:lang w:val="hr-HR"/>
              </w:rPr>
              <w:t>ljudetine</w:t>
            </w:r>
            <w:proofErr w:type="spellEnd"/>
            <w:r w:rsidR="00797BE2">
              <w:rPr>
                <w:lang w:val="hr-HR"/>
              </w:rPr>
              <w:t>.</w:t>
            </w:r>
          </w:p>
          <w:p w14:paraId="455FCCFC" w14:textId="51F09BD2" w:rsidR="00797BE2" w:rsidRDefault="00797BE2" w:rsidP="00FF603E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Tijekom </w:t>
            </w:r>
            <w:r w:rsidR="00F5080E">
              <w:rPr>
                <w:lang w:val="hr-HR"/>
              </w:rPr>
              <w:t xml:space="preserve">cijelog prvog dijela godine u prostorima Velike </w:t>
            </w:r>
            <w:r w:rsidR="00127BD5">
              <w:rPr>
                <w:lang w:val="hr-HR"/>
              </w:rPr>
              <w:t>dvorane</w:t>
            </w:r>
            <w:r w:rsidR="00F5080E">
              <w:rPr>
                <w:lang w:val="hr-HR"/>
              </w:rPr>
              <w:t xml:space="preserve"> Hrvatskog doma odvijale su se probe pod </w:t>
            </w:r>
            <w:r w:rsidR="00127BD5">
              <w:rPr>
                <w:lang w:val="hr-HR"/>
              </w:rPr>
              <w:t>vodstvom</w:t>
            </w:r>
            <w:r w:rsidR="00F5080E">
              <w:rPr>
                <w:lang w:val="hr-HR"/>
              </w:rPr>
              <w:t xml:space="preserve"> redatelja Adama Končića </w:t>
            </w:r>
            <w:r w:rsidR="00127BD5">
              <w:rPr>
                <w:lang w:val="hr-HR"/>
              </w:rPr>
              <w:t xml:space="preserve">za predstavu povodom Križevačkog velikog </w:t>
            </w:r>
            <w:proofErr w:type="spellStart"/>
            <w:r w:rsidR="00127BD5">
              <w:rPr>
                <w:lang w:val="hr-HR"/>
              </w:rPr>
              <w:t>spravišča</w:t>
            </w:r>
            <w:proofErr w:type="spellEnd"/>
            <w:r w:rsidR="00127BD5">
              <w:rPr>
                <w:lang w:val="hr-HR"/>
              </w:rPr>
              <w:t>.</w:t>
            </w:r>
          </w:p>
          <w:p w14:paraId="441380E6" w14:textId="748F5BF6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b/>
                <w:bCs/>
                <w:lang w:val="hr-HR"/>
              </w:rPr>
              <w:t>PODRUMSKA DVORANA HRVATSKOG DOMA</w:t>
            </w:r>
            <w:r w:rsidRPr="00390238">
              <w:rPr>
                <w:lang w:val="hr-HR"/>
              </w:rPr>
              <w:t xml:space="preserve"> </w:t>
            </w:r>
          </w:p>
          <w:p w14:paraId="494226C4" w14:textId="5601C0AD" w:rsidR="00D331CF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 xml:space="preserve">Uz stalne probe koje se odvijaju u podrumskoj dvorani, i to – Dječjeg zbora „Kristalići”, Lutkarskog kazališta „Petrica” Pučkog otvorenog učilišta Križevci, Hrvatskog pjevačkog društva „Kalnik”, sve su češća odvijanja i kulturnih programa, pa je </w:t>
            </w:r>
            <w:r w:rsidR="00A733D6" w:rsidRPr="00390238">
              <w:rPr>
                <w:lang w:val="hr-HR"/>
              </w:rPr>
              <w:t>tako</w:t>
            </w:r>
            <w:r w:rsidR="001C6BA4" w:rsidRPr="00390238">
              <w:rPr>
                <w:lang w:val="hr-HR"/>
              </w:rPr>
              <w:t xml:space="preserve">, osim događanja povodom </w:t>
            </w:r>
            <w:r w:rsidR="00C83597">
              <w:rPr>
                <w:lang w:val="hr-HR"/>
              </w:rPr>
              <w:t xml:space="preserve">za djecu i roditelje pod vodstvom Tomislave Topolovec u organizaciji </w:t>
            </w:r>
            <w:r w:rsidR="000D6AF7">
              <w:rPr>
                <w:lang w:val="hr-HR"/>
              </w:rPr>
              <w:t>Pučkog otvorenog učilišta Križevci.</w:t>
            </w:r>
            <w:r w:rsidR="001B4F0B">
              <w:rPr>
                <w:lang w:val="hr-HR"/>
              </w:rPr>
              <w:t xml:space="preserve"> Također, kako je za taj prostor Učilište ishodilo minimalno</w:t>
            </w:r>
            <w:r w:rsidR="00DB3422">
              <w:rPr>
                <w:lang w:val="hr-HR"/>
              </w:rPr>
              <w:t>-tehničke uvjete za provođenje programa obrazovanja</w:t>
            </w:r>
            <w:r w:rsidR="00310FFF">
              <w:rPr>
                <w:lang w:val="hr-HR"/>
              </w:rPr>
              <w:t>, sve su češća odvijanja spomenutog</w:t>
            </w:r>
            <w:r w:rsidR="00324936">
              <w:rPr>
                <w:lang w:val="hr-HR"/>
              </w:rPr>
              <w:t>.</w:t>
            </w:r>
          </w:p>
          <w:p w14:paraId="4DC64855" w14:textId="548F33D8" w:rsidR="00324936" w:rsidRDefault="00324936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Događanja u prostoru podrumske dvorane bila su:</w:t>
            </w:r>
            <w:r w:rsidR="005D6833">
              <w:rPr>
                <w:lang w:val="hr-HR"/>
              </w:rPr>
              <w:t xml:space="preserve">12.2. skupština </w:t>
            </w:r>
            <w:r w:rsidR="00226EC1">
              <w:rPr>
                <w:lang w:val="hr-HR"/>
              </w:rPr>
              <w:t xml:space="preserve">Ogranka </w:t>
            </w:r>
            <w:r w:rsidR="005D6833">
              <w:rPr>
                <w:lang w:val="hr-HR"/>
              </w:rPr>
              <w:t>Matice</w:t>
            </w:r>
            <w:r w:rsidR="00226EC1">
              <w:rPr>
                <w:lang w:val="hr-HR"/>
              </w:rPr>
              <w:t xml:space="preserve"> hrvatske, </w:t>
            </w:r>
            <w:r w:rsidR="00396FB7">
              <w:rPr>
                <w:lang w:val="hr-HR"/>
              </w:rPr>
              <w:t xml:space="preserve">22.2. nastup Glazbene škole </w:t>
            </w:r>
            <w:r w:rsidR="00D743D4">
              <w:rPr>
                <w:lang w:val="hr-HR"/>
              </w:rPr>
              <w:t>Alberta</w:t>
            </w:r>
            <w:r w:rsidR="00396FB7">
              <w:rPr>
                <w:lang w:val="hr-HR"/>
              </w:rPr>
              <w:t xml:space="preserve"> </w:t>
            </w:r>
            <w:proofErr w:type="spellStart"/>
            <w:r w:rsidR="00396FB7">
              <w:rPr>
                <w:lang w:val="hr-HR"/>
              </w:rPr>
              <w:t>Štrige</w:t>
            </w:r>
            <w:proofErr w:type="spellEnd"/>
            <w:r w:rsidR="00396FB7">
              <w:rPr>
                <w:lang w:val="hr-HR"/>
              </w:rPr>
              <w:t xml:space="preserve">, </w:t>
            </w:r>
            <w:r w:rsidR="00D743D4">
              <w:rPr>
                <w:lang w:val="hr-HR"/>
              </w:rPr>
              <w:t xml:space="preserve">27.7. smotra dječjih zborova, </w:t>
            </w:r>
            <w:r w:rsidR="00AD519C">
              <w:rPr>
                <w:lang w:val="hr-HR"/>
              </w:rPr>
              <w:t xml:space="preserve">16.5. </w:t>
            </w:r>
            <w:r w:rsidR="003365C2">
              <w:rPr>
                <w:lang w:val="hr-HR"/>
              </w:rPr>
              <w:t>nastup suvremenog plesa u organizaciji udruge KVARK.</w:t>
            </w:r>
          </w:p>
          <w:p w14:paraId="09D6120F" w14:textId="77777777" w:rsidR="00D331CF" w:rsidRPr="00390238" w:rsidRDefault="00D331CF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</w:p>
          <w:p w14:paraId="677FDC36" w14:textId="77777777" w:rsidR="001E7B6E" w:rsidRDefault="001E7B6E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</w:p>
          <w:p w14:paraId="73B85CC9" w14:textId="715BBD73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b/>
                <w:bCs/>
                <w:lang w:val="hr-HR"/>
              </w:rPr>
            </w:pPr>
            <w:r w:rsidRPr="00390238">
              <w:rPr>
                <w:b/>
                <w:bCs/>
                <w:lang w:val="hr-HR"/>
              </w:rPr>
              <w:t>KINO KRIŽEVCI</w:t>
            </w:r>
          </w:p>
          <w:p w14:paraId="77AEC63F" w14:textId="6D0C75E7" w:rsidR="004B469B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Pučko otvoreno učilište Križevci upravlja kino dvoranom u prostoru Križevačkog poduzetničko</w:t>
            </w:r>
            <w:r w:rsidR="00A877A1" w:rsidRPr="00390238">
              <w:rPr>
                <w:lang w:val="hr-HR"/>
              </w:rPr>
              <w:t>g</w:t>
            </w:r>
            <w:r w:rsidRPr="00390238">
              <w:rPr>
                <w:lang w:val="hr-HR"/>
              </w:rPr>
              <w:t xml:space="preserve"> centra te u svojoj </w:t>
            </w:r>
            <w:r w:rsidR="009F5BBD" w:rsidRPr="00390238">
              <w:rPr>
                <w:lang w:val="hr-HR"/>
              </w:rPr>
              <w:t>trećoj</w:t>
            </w:r>
            <w:r w:rsidRPr="00390238">
              <w:rPr>
                <w:lang w:val="hr-HR"/>
              </w:rPr>
              <w:t xml:space="preserve">, uspješnoj, godini djelovanja raspolaže sljedećim brojem projekcija i posjetitelja: </w:t>
            </w:r>
          </w:p>
          <w:p w14:paraId="1F86053A" w14:textId="6205EF61" w:rsidR="00DA3602" w:rsidRPr="002012B9" w:rsidRDefault="003C44C4" w:rsidP="004B2728">
            <w:pPr>
              <w:pStyle w:val="Bezproreda"/>
              <w:widowControl w:val="0"/>
              <w:spacing w:line="360" w:lineRule="auto"/>
              <w:jc w:val="both"/>
              <w:rPr>
                <w:b/>
                <w:bCs/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</w:t>
            </w:r>
            <w:r w:rsidRPr="002012B9">
              <w:rPr>
                <w:b/>
                <w:bCs/>
                <w:lang w:val="hr-HR"/>
              </w:rPr>
              <w:t xml:space="preserve">PROJEKCIJE                </w:t>
            </w:r>
            <w:r w:rsidR="00682180" w:rsidRPr="002012B9">
              <w:rPr>
                <w:b/>
                <w:bCs/>
                <w:lang w:val="hr-HR"/>
              </w:rPr>
              <w:t>IGRANI        ANIMIRANI               GLEDATELJI</w:t>
            </w:r>
          </w:p>
          <w:tbl>
            <w:tblPr>
              <w:tblW w:w="8413" w:type="dxa"/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954"/>
              <w:gridCol w:w="1640"/>
              <w:gridCol w:w="1240"/>
              <w:gridCol w:w="2099"/>
            </w:tblGrid>
            <w:tr w:rsidR="00734B6D" w:rsidRPr="00DA3602" w14:paraId="0586BCF6" w14:textId="77777777" w:rsidTr="00C02AB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3834E6B" w14:textId="77777777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SIJEČANJ</w:t>
                  </w: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F646299" w14:textId="194D5CD8" w:rsidR="00DA3602" w:rsidRPr="00DA3602" w:rsidRDefault="00A703F3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16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92747A6" w14:textId="4C885E83" w:rsidR="00DA3602" w:rsidRPr="00DA3602" w:rsidRDefault="00A703F3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9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2F46A66" w14:textId="099722C8" w:rsidR="00DA3602" w:rsidRPr="00DA3602" w:rsidRDefault="00A703F3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7</w:t>
                  </w: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5A27C48" w14:textId="78559CE6" w:rsidR="00DA3602" w:rsidRPr="00DA3602" w:rsidRDefault="007D6469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572</w:t>
                  </w:r>
                </w:p>
              </w:tc>
            </w:tr>
            <w:tr w:rsidR="00DA3602" w:rsidRPr="00DA3602" w14:paraId="63C0ACC2" w14:textId="77777777" w:rsidTr="00C02AB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0BE4F0" w14:textId="77777777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VELJAČA</w:t>
                  </w: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C5A8E2C" w14:textId="1845145F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</w:t>
                  </w:r>
                  <w:r w:rsidR="007D6469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6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0D16A8" w14:textId="35D18121" w:rsidR="00DA3602" w:rsidRPr="00DA3602" w:rsidRDefault="007D6469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9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62B21CB" w14:textId="3DE8C812" w:rsidR="00DA3602" w:rsidRPr="00DA3602" w:rsidRDefault="007D6469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7</w:t>
                  </w: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BC3EC4" w14:textId="7F94B54A" w:rsidR="00DA3602" w:rsidRPr="00DA3602" w:rsidRDefault="007D6469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579</w:t>
                  </w:r>
                </w:p>
              </w:tc>
            </w:tr>
            <w:tr w:rsidR="00DA3602" w:rsidRPr="00DA3602" w14:paraId="3D1ACAD6" w14:textId="77777777" w:rsidTr="00C02AB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1B07A39" w14:textId="77777777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OŽUJAK</w:t>
                  </w: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A4DBE31" w14:textId="12CFEA8A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2</w:t>
                  </w:r>
                  <w:r w:rsidR="001959EB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3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3861D6A" w14:textId="54BB9AA9" w:rsidR="00DA3602" w:rsidRPr="00DA3602" w:rsidRDefault="001959EB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14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B234D84" w14:textId="121B8167" w:rsidR="00DA3602" w:rsidRPr="00DA3602" w:rsidRDefault="001959EB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9</w:t>
                  </w: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4618AE8" w14:textId="3AE07CC5" w:rsidR="00DA3602" w:rsidRPr="00DA3602" w:rsidRDefault="004D3031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                 1158</w:t>
                  </w:r>
                </w:p>
              </w:tc>
            </w:tr>
            <w:tr w:rsidR="00DA3602" w:rsidRPr="00DA3602" w14:paraId="243B5170" w14:textId="77777777" w:rsidTr="00C02AB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7E44471" w14:textId="77777777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TRAVANJ</w:t>
                  </w: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B226E95" w14:textId="557B19F0" w:rsidR="00DA3602" w:rsidRPr="00DA3602" w:rsidRDefault="004D3031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17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2F90134" w14:textId="6307D3E6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</w:t>
                  </w:r>
                  <w:r w:rsidR="004D3031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5AFEEC5" w14:textId="77777777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7</w:t>
                  </w: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62AAE17" w14:textId="28AF1E53" w:rsidR="004D3031" w:rsidRDefault="004D3031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  <w:p w14:paraId="7967F552" w14:textId="4472A3EF" w:rsidR="00DA3602" w:rsidRPr="00DA3602" w:rsidRDefault="006125C9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                  482</w:t>
                  </w:r>
                </w:p>
              </w:tc>
            </w:tr>
            <w:tr w:rsidR="00DA3602" w:rsidRPr="00DA3602" w14:paraId="61E08B50" w14:textId="77777777" w:rsidTr="00C02AB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2AFF8E7" w14:textId="77777777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SVIBANJ</w:t>
                  </w: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EC66C6" w14:textId="76580716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2</w:t>
                  </w:r>
                  <w:r w:rsidR="002D429E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3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F2F7DE4" w14:textId="7996AD41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</w:t>
                  </w:r>
                  <w:r w:rsidR="002D429E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BFD6400" w14:textId="1F6477EB" w:rsidR="00DA3602" w:rsidRPr="00DA3602" w:rsidRDefault="00C02AB6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9</w:t>
                  </w: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2F23B7A" w14:textId="0B2FAB50" w:rsidR="00DA3602" w:rsidRPr="00DA3602" w:rsidRDefault="00C02AB6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 xml:space="preserve">                             765</w:t>
                  </w:r>
                </w:p>
              </w:tc>
            </w:tr>
            <w:tr w:rsidR="00DA3602" w:rsidRPr="00DA3602" w14:paraId="383FB372" w14:textId="77777777" w:rsidTr="00C02AB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E4D6DA6" w14:textId="77777777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DA3602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LIPANJ</w:t>
                  </w: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B748797" w14:textId="3904097F" w:rsidR="00DA3602" w:rsidRPr="00DA3602" w:rsidRDefault="00C02AB6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14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082A9A9" w14:textId="283F0802" w:rsidR="00DA3602" w:rsidRPr="00DA3602" w:rsidRDefault="00C02AB6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FB39155" w14:textId="7CB924EE" w:rsidR="00DA3602" w:rsidRPr="00DA3602" w:rsidRDefault="00C02AB6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8</w:t>
                  </w: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DB5B05" w14:textId="12367336" w:rsidR="00DA3602" w:rsidRPr="00DA3602" w:rsidRDefault="00C02AB6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721</w:t>
                  </w:r>
                </w:p>
              </w:tc>
            </w:tr>
            <w:tr w:rsidR="00DA3602" w:rsidRPr="002012B9" w14:paraId="21536719" w14:textId="77777777" w:rsidTr="00544BC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tbl>
                  <w:tblPr>
                    <w:tblW w:w="84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80"/>
                    <w:gridCol w:w="1954"/>
                    <w:gridCol w:w="1640"/>
                    <w:gridCol w:w="1240"/>
                    <w:gridCol w:w="2099"/>
                  </w:tblGrid>
                  <w:tr w:rsidR="00544BC6" w:rsidRPr="002012B9" w14:paraId="0B5AF8CC" w14:textId="77777777" w:rsidTr="00C01E33">
                    <w:trPr>
                      <w:trHeight w:val="288"/>
                    </w:trPr>
                    <w:tc>
                      <w:tcPr>
                        <w:tcW w:w="1480" w:type="dxa"/>
                        <w:tcBorders>
                          <w:top w:val="single" w:sz="4" w:space="0" w:color="FFFFFF"/>
                          <w:left w:val="nil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7E45901C" w14:textId="77777777" w:rsidR="00544BC6" w:rsidRPr="002012B9" w:rsidRDefault="00544BC6" w:rsidP="00544BC6">
                        <w:pPr>
                          <w:suppressAutoHyphens w:val="0"/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lang w:eastAsia="hr-HR"/>
                          </w:rPr>
                        </w:pPr>
                        <w:r w:rsidRPr="002012B9">
                          <w:rPr>
                            <w:rFonts w:ascii="Calibri" w:eastAsia="Times New Roman" w:hAnsi="Calibri" w:cs="Calibri"/>
                            <w:b/>
                            <w:bCs/>
                            <w:lang w:eastAsia="hr-HR"/>
                          </w:rPr>
                          <w:t>1- 6 MJ</w:t>
                        </w:r>
                      </w:p>
                    </w:tc>
                    <w:tc>
                      <w:tcPr>
                        <w:tcW w:w="1954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4DB68F7C" w14:textId="77777777" w:rsidR="00544BC6" w:rsidRPr="002012B9" w:rsidRDefault="00544BC6" w:rsidP="00544BC6">
                        <w:pPr>
                          <w:suppressAutoHyphens w:val="0"/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lang w:eastAsia="hr-HR"/>
                          </w:rPr>
                        </w:pPr>
                        <w:r w:rsidRPr="002012B9">
                          <w:rPr>
                            <w:rFonts w:ascii="Calibri" w:eastAsia="Times New Roman" w:hAnsi="Calibri" w:cs="Calibri"/>
                            <w:b/>
                            <w:bCs/>
                            <w:lang w:eastAsia="hr-HR"/>
                          </w:rPr>
                          <w:t xml:space="preserve">                          109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6FAB7810" w14:textId="77777777" w:rsidR="00544BC6" w:rsidRPr="002012B9" w:rsidRDefault="00544BC6" w:rsidP="00544BC6">
                        <w:pPr>
                          <w:suppressAutoHyphens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2029ECDC" w14:textId="77777777" w:rsidR="00544BC6" w:rsidRPr="002012B9" w:rsidRDefault="00544BC6" w:rsidP="00544BC6">
                        <w:pPr>
                          <w:suppressAutoHyphens w:val="0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0"/>
                            <w:szCs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099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nil"/>
                        </w:tcBorders>
                        <w:shd w:val="clear" w:color="auto" w:fill="FFFFFF" w:themeFill="background1"/>
                        <w:noWrap/>
                        <w:vAlign w:val="bottom"/>
                        <w:hideMark/>
                      </w:tcPr>
                      <w:p w14:paraId="03706EE5" w14:textId="77777777" w:rsidR="00544BC6" w:rsidRPr="002012B9" w:rsidRDefault="00544BC6" w:rsidP="00544BC6">
                        <w:pPr>
                          <w:suppressAutoHyphens w:val="0"/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b/>
                            <w:bCs/>
                            <w:lang w:eastAsia="hr-HR"/>
                          </w:rPr>
                        </w:pPr>
                        <w:r w:rsidRPr="002012B9">
                          <w:rPr>
                            <w:rFonts w:ascii="Calibri" w:eastAsia="Times New Roman" w:hAnsi="Calibri" w:cs="Calibri"/>
                            <w:b/>
                            <w:bCs/>
                            <w:lang w:eastAsia="hr-HR"/>
                          </w:rPr>
                          <w:t>4277</w:t>
                        </w:r>
                      </w:p>
                    </w:tc>
                  </w:tr>
                </w:tbl>
                <w:p w14:paraId="7ED3F414" w14:textId="6171C23C" w:rsidR="00DA3602" w:rsidRPr="002012B9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2447910A" w14:textId="29ECB51E" w:rsidR="00DA3602" w:rsidRPr="002012B9" w:rsidRDefault="002012B9" w:rsidP="002012B9">
                  <w:pPr>
                    <w:suppressAutoHyphens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012B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 xml:space="preserve">                            109   </w:t>
                  </w: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6893E427" w14:textId="54C86BFD" w:rsidR="00DA3602" w:rsidRPr="002012B9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0CA49CDD" w14:textId="10A2E8C4" w:rsidR="00DA3602" w:rsidRPr="002012B9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222284F5" w14:textId="5A089D4E" w:rsidR="00DA3602" w:rsidRPr="002012B9" w:rsidRDefault="002012B9" w:rsidP="002012B9">
                  <w:pPr>
                    <w:suppressAutoHyphens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</w:pPr>
                  <w:r w:rsidRPr="002012B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hr-HR"/>
                    </w:rPr>
                    <w:t xml:space="preserve">                            4277</w:t>
                  </w:r>
                </w:p>
              </w:tc>
            </w:tr>
            <w:tr w:rsidR="00DA3602" w:rsidRPr="002012B9" w14:paraId="7C3AEE0F" w14:textId="77777777" w:rsidTr="00544BC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17A6F77C" w14:textId="128338CA" w:rsidR="00DA3602" w:rsidRPr="002012B9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7B711BDF" w14:textId="1130A6FF" w:rsidR="00DA3602" w:rsidRPr="002012B9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3D473352" w14:textId="21FA0F7B" w:rsidR="00DA3602" w:rsidRPr="002012B9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6F88AD9F" w14:textId="6C44AEFD" w:rsidR="00DA3602" w:rsidRPr="002012B9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6979AEFC" w14:textId="64354FD6" w:rsidR="00DA3602" w:rsidRPr="002012B9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  <w:tr w:rsidR="00DA3602" w:rsidRPr="00DA3602" w14:paraId="092A52D8" w14:textId="77777777" w:rsidTr="00544BC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7BCBA098" w14:textId="6A5A8E02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4DDCDDD4" w14:textId="0ED05BB3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hr-HR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2D36FC89" w14:textId="7029CDFD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hr-HR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3182EA8A" w14:textId="0E65BDAA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hr-HR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066C70A6" w14:textId="4F26610B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hr-HR"/>
                    </w:rPr>
                  </w:pPr>
                </w:p>
              </w:tc>
            </w:tr>
            <w:tr w:rsidR="00DA3602" w:rsidRPr="00DA3602" w14:paraId="223905E6" w14:textId="77777777" w:rsidTr="00544BC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37B8E756" w14:textId="6FBEF6C9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4B8F90EE" w14:textId="583B231D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5DB7C743" w14:textId="2A429AD8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6E643625" w14:textId="3411CF18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157E1D5C" w14:textId="2F06D478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  <w:tr w:rsidR="00DA3602" w:rsidRPr="00DA3602" w14:paraId="4FE5F9E3" w14:textId="77777777" w:rsidTr="00544BC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00A41A3B" w14:textId="26899B56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328EFC76" w14:textId="17D37704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32780918" w14:textId="53B9BEA4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4201B4F9" w14:textId="1EE1B3C1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56888F15" w14:textId="0C0E6267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  <w:tr w:rsidR="00DA3602" w:rsidRPr="00DA3602" w14:paraId="7FA78541" w14:textId="77777777" w:rsidTr="00544BC6">
              <w:trPr>
                <w:trHeight w:val="288"/>
              </w:trPr>
              <w:tc>
                <w:tcPr>
                  <w:tcW w:w="14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44B04A76" w14:textId="6EF48ED0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3A257845" w14:textId="7A06B903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6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4A83BC04" w14:textId="7A57167D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 w:themeFill="background1"/>
                  <w:noWrap/>
                  <w:vAlign w:val="bottom"/>
                </w:tcPr>
                <w:p w14:paraId="3AD0D433" w14:textId="1BBB451C" w:rsidR="00DA3602" w:rsidRPr="00DA3602" w:rsidRDefault="00DA3602" w:rsidP="00DA3602">
                  <w:pPr>
                    <w:suppressAutoHyphens w:val="0"/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nil"/>
                  </w:tcBorders>
                  <w:shd w:val="clear" w:color="auto" w:fill="FFFFFF" w:themeFill="background1"/>
                  <w:noWrap/>
                  <w:vAlign w:val="bottom"/>
                </w:tcPr>
                <w:p w14:paraId="78696DD5" w14:textId="65C6EE92" w:rsidR="00DA3602" w:rsidRPr="00DA3602" w:rsidRDefault="00DA3602" w:rsidP="00DA3602">
                  <w:pPr>
                    <w:suppressAutoHyphens w:val="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14:paraId="0730E9E5" w14:textId="10CF319B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 xml:space="preserve">U sklopu Kina posjetitelji i dalje mogu uživati u gastro ponudi grickalica i pića. </w:t>
            </w:r>
          </w:p>
          <w:p w14:paraId="7A89B427" w14:textId="77777777" w:rsidR="00D331CF" w:rsidRPr="00390238" w:rsidRDefault="00D331CF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</w:p>
          <w:p w14:paraId="0FD144B1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b/>
                <w:bCs/>
                <w:lang w:val="hr-HR"/>
              </w:rPr>
            </w:pPr>
            <w:r w:rsidRPr="00390238">
              <w:rPr>
                <w:b/>
                <w:bCs/>
                <w:lang w:val="hr-HR"/>
              </w:rPr>
              <w:t>VIDIKOVAC NA TORNJU HRVATSKOG DOMA</w:t>
            </w:r>
          </w:p>
          <w:p w14:paraId="7442B83F" w14:textId="7CECB14B" w:rsidR="00C97FB0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23. travnja</w:t>
            </w:r>
            <w:r w:rsidR="00D711B4">
              <w:rPr>
                <w:lang w:val="hr-HR"/>
              </w:rPr>
              <w:t xml:space="preserve"> </w:t>
            </w:r>
            <w:r w:rsidR="00616C44" w:rsidRPr="00390238">
              <w:rPr>
                <w:lang w:val="hr-HR"/>
              </w:rPr>
              <w:t>2022. godine</w:t>
            </w:r>
            <w:r w:rsidRPr="00390238">
              <w:rPr>
                <w:lang w:val="hr-HR"/>
              </w:rPr>
              <w:t xml:space="preserve">, povodom obilježavanja Dana grada Pučko otvoreno učilište Križevci otvorilo je </w:t>
            </w:r>
            <w:r w:rsidRPr="006200F1">
              <w:rPr>
                <w:lang w:val="hr-HR"/>
              </w:rPr>
              <w:t xml:space="preserve">vrata Vidikovca za medije i građanstvo, a kojim od tad kontinuirano upravlja. </w:t>
            </w:r>
            <w:r w:rsidR="00616C44" w:rsidRPr="006200F1">
              <w:rPr>
                <w:lang w:val="hr-HR"/>
              </w:rPr>
              <w:t>U razdoblju od 1. 1. 202</w:t>
            </w:r>
            <w:r w:rsidR="00617AC9">
              <w:rPr>
                <w:lang w:val="hr-HR"/>
              </w:rPr>
              <w:t>4</w:t>
            </w:r>
            <w:r w:rsidR="00616C44" w:rsidRPr="006200F1">
              <w:rPr>
                <w:lang w:val="hr-HR"/>
              </w:rPr>
              <w:t>. do 3</w:t>
            </w:r>
            <w:r w:rsidR="006200F1">
              <w:rPr>
                <w:lang w:val="hr-HR"/>
              </w:rPr>
              <w:t xml:space="preserve">1.12. </w:t>
            </w:r>
            <w:r w:rsidR="00616C44" w:rsidRPr="006200F1">
              <w:rPr>
                <w:lang w:val="hr-HR"/>
              </w:rPr>
              <w:t>202</w:t>
            </w:r>
            <w:r w:rsidR="00617AC9">
              <w:rPr>
                <w:lang w:val="hr-HR"/>
              </w:rPr>
              <w:t>4</w:t>
            </w:r>
            <w:r w:rsidR="00616C44" w:rsidRPr="006200F1">
              <w:rPr>
                <w:lang w:val="hr-HR"/>
              </w:rPr>
              <w:t xml:space="preserve">. Vidikovac je posjetilo </w:t>
            </w:r>
            <w:r w:rsidR="006200F1">
              <w:rPr>
                <w:lang w:val="hr-HR"/>
              </w:rPr>
              <w:t>1</w:t>
            </w:r>
            <w:r w:rsidR="008150A6">
              <w:rPr>
                <w:lang w:val="hr-HR"/>
              </w:rPr>
              <w:t>7</w:t>
            </w:r>
            <w:r w:rsidR="006200F1">
              <w:rPr>
                <w:lang w:val="hr-HR"/>
              </w:rPr>
              <w:t xml:space="preserve">00 </w:t>
            </w:r>
            <w:r w:rsidR="00616C44" w:rsidRPr="006200F1">
              <w:rPr>
                <w:lang w:val="hr-HR"/>
              </w:rPr>
              <w:t>osoba.</w:t>
            </w:r>
            <w:r w:rsidR="00616C44" w:rsidRPr="00390238">
              <w:rPr>
                <w:lang w:val="hr-HR"/>
              </w:rPr>
              <w:t xml:space="preserve"> </w:t>
            </w:r>
            <w:r w:rsidR="00780C1D" w:rsidRPr="00390238">
              <w:rPr>
                <w:lang w:val="hr-HR"/>
              </w:rPr>
              <w:t xml:space="preserve">Sve su češći posjeti turista i stranih studenata, kao </w:t>
            </w:r>
            <w:r w:rsidR="008C5D30" w:rsidRPr="00390238">
              <w:rPr>
                <w:lang w:val="hr-HR"/>
              </w:rPr>
              <w:t xml:space="preserve">i </w:t>
            </w:r>
            <w:r w:rsidR="007D7B3B" w:rsidRPr="00390238">
              <w:rPr>
                <w:lang w:val="hr-HR"/>
              </w:rPr>
              <w:t>učenika osnovnih i srednjih škola</w:t>
            </w:r>
            <w:r w:rsidR="008C5D30" w:rsidRPr="00390238">
              <w:rPr>
                <w:lang w:val="hr-HR"/>
              </w:rPr>
              <w:t xml:space="preserve">. Posjet Vidikovcu moguće je </w:t>
            </w:r>
            <w:r w:rsidR="00567B09" w:rsidRPr="00390238">
              <w:rPr>
                <w:lang w:val="hr-HR"/>
              </w:rPr>
              <w:t>ostvariti dogovorom s Ustanovom i radnim danom i vikendima, a za Križevačko veliko s</w:t>
            </w:r>
            <w:r w:rsidR="00D97325" w:rsidRPr="00390238">
              <w:rPr>
                <w:lang w:val="hr-HR"/>
              </w:rPr>
              <w:t>p</w:t>
            </w:r>
            <w:r w:rsidR="00567B09" w:rsidRPr="00390238">
              <w:rPr>
                <w:lang w:val="hr-HR"/>
              </w:rPr>
              <w:t>ravišče</w:t>
            </w:r>
            <w:r w:rsidR="00F96B45">
              <w:rPr>
                <w:lang w:val="hr-HR"/>
              </w:rPr>
              <w:t>, kao i za ostale gr</w:t>
            </w:r>
            <w:r w:rsidR="00864909">
              <w:rPr>
                <w:lang w:val="hr-HR"/>
              </w:rPr>
              <w:t>adske manifestacije,</w:t>
            </w:r>
            <w:r w:rsidR="00567B09" w:rsidRPr="00390238">
              <w:rPr>
                <w:lang w:val="hr-HR"/>
              </w:rPr>
              <w:t xml:space="preserve"> </w:t>
            </w:r>
            <w:r w:rsidR="00864909">
              <w:rPr>
                <w:lang w:val="hr-HR"/>
              </w:rPr>
              <w:t>vidikovac</w:t>
            </w:r>
            <w:r w:rsidR="00567B09" w:rsidRPr="00390238">
              <w:rPr>
                <w:lang w:val="hr-HR"/>
              </w:rPr>
              <w:t xml:space="preserve"> je </w:t>
            </w:r>
            <w:r w:rsidR="00D97325" w:rsidRPr="00390238">
              <w:rPr>
                <w:lang w:val="hr-HR"/>
              </w:rPr>
              <w:t>otvoren</w:t>
            </w:r>
            <w:r w:rsidR="00567B09" w:rsidRPr="00390238">
              <w:rPr>
                <w:lang w:val="hr-HR"/>
              </w:rPr>
              <w:t xml:space="preserve"> cijeli viken</w:t>
            </w:r>
            <w:r w:rsidR="00D97325" w:rsidRPr="00390238">
              <w:rPr>
                <w:lang w:val="hr-HR"/>
              </w:rPr>
              <w:t>d</w:t>
            </w:r>
            <w:r w:rsidR="00D34F5E">
              <w:rPr>
                <w:lang w:val="hr-HR"/>
              </w:rPr>
              <w:t>/dan</w:t>
            </w:r>
            <w:r w:rsidR="00567B09" w:rsidRPr="00390238">
              <w:rPr>
                <w:lang w:val="hr-HR"/>
              </w:rPr>
              <w:t xml:space="preserve"> za posjete građana i gostiju.</w:t>
            </w:r>
          </w:p>
          <w:p w14:paraId="7C14087F" w14:textId="77777777" w:rsidR="001E7B6E" w:rsidRPr="00CA0BAC" w:rsidRDefault="001E7B6E" w:rsidP="004B2728">
            <w:pPr>
              <w:spacing w:line="360" w:lineRule="auto"/>
              <w:jc w:val="both"/>
              <w:rPr>
                <w:b/>
                <w:bCs/>
                <w:color w:val="FF0000"/>
              </w:rPr>
            </w:pPr>
          </w:p>
          <w:p w14:paraId="7AFF584F" w14:textId="6F0A600F" w:rsidR="004B2728" w:rsidRPr="00FE5BBC" w:rsidRDefault="004B2728" w:rsidP="004B2728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FE5BBC">
              <w:rPr>
                <w:b/>
                <w:bCs/>
                <w:color w:val="000000" w:themeColor="text1"/>
              </w:rPr>
              <w:t>OBRAZOVANJE</w:t>
            </w:r>
          </w:p>
          <w:p w14:paraId="5FB2D0C7" w14:textId="4E4AF857" w:rsidR="00897285" w:rsidRPr="00FE5BBC" w:rsidRDefault="00760FD8" w:rsidP="004B2728">
            <w:pPr>
              <w:spacing w:line="360" w:lineRule="auto"/>
              <w:jc w:val="both"/>
              <w:rPr>
                <w:color w:val="000000" w:themeColor="text1"/>
              </w:rPr>
            </w:pPr>
            <w:r w:rsidRPr="00FE5BBC">
              <w:rPr>
                <w:color w:val="000000" w:themeColor="text1"/>
              </w:rPr>
              <w:t xml:space="preserve">U prvoj polovici 2024. godine od </w:t>
            </w:r>
            <w:r w:rsidR="004B2728" w:rsidRPr="00FE5BBC">
              <w:rPr>
                <w:color w:val="000000" w:themeColor="text1"/>
              </w:rPr>
              <w:t xml:space="preserve">formalnih programa obrazovanja odraslih </w:t>
            </w:r>
            <w:r w:rsidR="00897285" w:rsidRPr="00FE5BBC">
              <w:rPr>
                <w:color w:val="000000" w:themeColor="text1"/>
              </w:rPr>
              <w:t>završila</w:t>
            </w:r>
            <w:r w:rsidR="004B2728" w:rsidRPr="00FE5BBC">
              <w:rPr>
                <w:color w:val="000000" w:themeColor="text1"/>
              </w:rPr>
              <w:t xml:space="preserve"> s</w:t>
            </w:r>
            <w:r w:rsidR="00897285" w:rsidRPr="00FE5BBC">
              <w:rPr>
                <w:color w:val="000000" w:themeColor="text1"/>
              </w:rPr>
              <w:t xml:space="preserve">u </w:t>
            </w:r>
            <w:r w:rsidR="004B2728" w:rsidRPr="00FE5BBC">
              <w:rPr>
                <w:color w:val="000000" w:themeColor="text1"/>
              </w:rPr>
              <w:t>dva programa</w:t>
            </w:r>
            <w:r w:rsidR="001F1D07" w:rsidRPr="00FE5BBC">
              <w:rPr>
                <w:color w:val="000000" w:themeColor="text1"/>
              </w:rPr>
              <w:t xml:space="preserve"> koja su započela 2023. godine</w:t>
            </w:r>
            <w:r w:rsidR="00897285" w:rsidRPr="00FE5BBC">
              <w:rPr>
                <w:color w:val="000000" w:themeColor="text1"/>
              </w:rPr>
              <w:t xml:space="preserve">, a </w:t>
            </w:r>
            <w:r w:rsidR="001F1D07" w:rsidRPr="00FE5BBC">
              <w:rPr>
                <w:color w:val="000000" w:themeColor="text1"/>
              </w:rPr>
              <w:t>zatim su do kraja lipnja</w:t>
            </w:r>
            <w:r w:rsidR="00897285" w:rsidRPr="00FE5BBC">
              <w:rPr>
                <w:color w:val="000000" w:themeColor="text1"/>
              </w:rPr>
              <w:t xml:space="preserve"> započela još </w:t>
            </w:r>
            <w:r w:rsidR="00CC73DE" w:rsidRPr="00FE5BBC">
              <w:rPr>
                <w:color w:val="000000" w:themeColor="text1"/>
              </w:rPr>
              <w:t>tri</w:t>
            </w:r>
            <w:r w:rsidR="001F1D07" w:rsidRPr="00FE5BBC">
              <w:rPr>
                <w:color w:val="000000" w:themeColor="text1"/>
              </w:rPr>
              <w:t xml:space="preserve"> programa</w:t>
            </w:r>
            <w:r w:rsidR="00CC73DE" w:rsidRPr="00FE5BBC">
              <w:rPr>
                <w:color w:val="000000" w:themeColor="text1"/>
              </w:rPr>
              <w:t xml:space="preserve">: </w:t>
            </w:r>
          </w:p>
          <w:p w14:paraId="51D610EA" w14:textId="2917D68C" w:rsidR="00832D1E" w:rsidRDefault="001F1D07" w:rsidP="004B2728">
            <w:pPr>
              <w:spacing w:line="360" w:lineRule="auto"/>
              <w:jc w:val="both"/>
              <w:rPr>
                <w:color w:val="000000" w:themeColor="text1"/>
              </w:rPr>
            </w:pPr>
            <w:r w:rsidRPr="00FE5BBC">
              <w:rPr>
                <w:color w:val="000000" w:themeColor="text1"/>
              </w:rPr>
              <w:t xml:space="preserve">U travnju </w:t>
            </w:r>
            <w:r w:rsidR="003233CB" w:rsidRPr="00FE5BBC">
              <w:rPr>
                <w:color w:val="000000" w:themeColor="text1"/>
              </w:rPr>
              <w:t xml:space="preserve">je završilo obrazovanje za osam polaznika programa obrazovanja za stjecanje mikrokvalifikacije internetski marketing i brendiranje koji je započeo u listopadu 2023. godine. </w:t>
            </w:r>
            <w:r w:rsidR="00F33549" w:rsidRPr="00FE5BBC">
              <w:rPr>
                <w:color w:val="000000" w:themeColor="text1"/>
              </w:rPr>
              <w:t>Polaznici su obrazovanje</w:t>
            </w:r>
            <w:r w:rsidR="008C7C83">
              <w:rPr>
                <w:color w:val="000000" w:themeColor="text1"/>
              </w:rPr>
              <w:t xml:space="preserve"> od 225 sati</w:t>
            </w:r>
            <w:r w:rsidR="00F33549" w:rsidRPr="00FE5BBC">
              <w:rPr>
                <w:color w:val="000000" w:themeColor="text1"/>
              </w:rPr>
              <w:t xml:space="preserve"> završili prezentiranjem svojih projektnih zadataka – razradom internetske marketinške strategije za </w:t>
            </w:r>
            <w:r w:rsidR="002667B0" w:rsidRPr="00FE5BBC">
              <w:rPr>
                <w:color w:val="000000" w:themeColor="text1"/>
              </w:rPr>
              <w:t xml:space="preserve">konkretne poslovne ideje. Uspješno su izradili i obranili svoje projekte te </w:t>
            </w:r>
            <w:r w:rsidR="00FE5BBC" w:rsidRPr="00FE5BBC">
              <w:rPr>
                <w:color w:val="000000" w:themeColor="text1"/>
              </w:rPr>
              <w:t xml:space="preserve">su im 9. travnja uručena uvjerenja o osposobljavanju. </w:t>
            </w:r>
            <w:r w:rsidR="00FE5BBC" w:rsidRPr="0050418C">
              <w:rPr>
                <w:color w:val="000000" w:themeColor="text1"/>
              </w:rPr>
              <w:t xml:space="preserve">Program je izvodio </w:t>
            </w:r>
            <w:proofErr w:type="spellStart"/>
            <w:r w:rsidR="00FE5BBC" w:rsidRPr="0050418C">
              <w:rPr>
                <w:color w:val="000000" w:themeColor="text1"/>
              </w:rPr>
              <w:t>mag.oec</w:t>
            </w:r>
            <w:proofErr w:type="spellEnd"/>
            <w:r w:rsidR="00FE5BBC" w:rsidRPr="0050418C">
              <w:rPr>
                <w:color w:val="000000" w:themeColor="text1"/>
              </w:rPr>
              <w:t>. Ivan Vrhovski, koji je diplomirao na Ekonomskom fakultetu u Zagrebu 2012. godine nakon čega je postao i specijalist za internetski marketing dodatnom edukacijom na Algebra visokom učilištu</w:t>
            </w:r>
            <w:r w:rsidR="0050418C" w:rsidRPr="0050418C">
              <w:rPr>
                <w:color w:val="000000" w:themeColor="text1"/>
              </w:rPr>
              <w:t xml:space="preserve"> te vodi obiteljsku marketinšku agenciju </w:t>
            </w:r>
            <w:proofErr w:type="spellStart"/>
            <w:r w:rsidR="0050418C" w:rsidRPr="0050418C">
              <w:rPr>
                <w:color w:val="000000" w:themeColor="text1"/>
              </w:rPr>
              <w:t>Wrhovski</w:t>
            </w:r>
            <w:proofErr w:type="spellEnd"/>
            <w:r w:rsidR="0050418C" w:rsidRPr="0050418C">
              <w:rPr>
                <w:color w:val="000000" w:themeColor="text1"/>
              </w:rPr>
              <w:t xml:space="preserve"> d.o.o. koja je specijalizirana za industriju maloprodaje, nakita te hrane i pića</w:t>
            </w:r>
            <w:r w:rsidR="0050418C">
              <w:rPr>
                <w:color w:val="000000" w:themeColor="text1"/>
              </w:rPr>
              <w:t xml:space="preserve">. </w:t>
            </w:r>
          </w:p>
          <w:p w14:paraId="0659548C" w14:textId="32497CE9" w:rsidR="00350C05" w:rsidRDefault="00350C05" w:rsidP="004B2728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 travnju je također završilo obrazovanje za </w:t>
            </w:r>
            <w:r w:rsidR="00E43B27">
              <w:rPr>
                <w:color w:val="000000" w:themeColor="text1"/>
              </w:rPr>
              <w:t xml:space="preserve">11 polaznica programa obrazovanja za stjecanje djelomične kvalifikacije knjigovođa/knjigovotkinja </w:t>
            </w:r>
            <w:r w:rsidR="000D42C5">
              <w:rPr>
                <w:color w:val="000000" w:themeColor="text1"/>
              </w:rPr>
              <w:t xml:space="preserve">(grupa 02-23) </w:t>
            </w:r>
            <w:r w:rsidR="008C7C83">
              <w:rPr>
                <w:color w:val="000000" w:themeColor="text1"/>
              </w:rPr>
              <w:t xml:space="preserve">u trajanju od 350 sati </w:t>
            </w:r>
            <w:r w:rsidR="00E43B27">
              <w:rPr>
                <w:color w:val="000000" w:themeColor="text1"/>
              </w:rPr>
              <w:t xml:space="preserve">koje je započelo </w:t>
            </w:r>
            <w:r w:rsidR="00546649">
              <w:rPr>
                <w:color w:val="000000" w:themeColor="text1"/>
              </w:rPr>
              <w:t>2. listopada 2023. godine.</w:t>
            </w:r>
            <w:r w:rsidR="00A74444">
              <w:rPr>
                <w:color w:val="000000" w:themeColor="text1"/>
              </w:rPr>
              <w:t xml:space="preserve"> Polaznicama su uručena uvjerenja o osposobljavanju 16. travnja</w:t>
            </w:r>
            <w:r w:rsidR="00332526">
              <w:rPr>
                <w:color w:val="000000" w:themeColor="text1"/>
              </w:rPr>
              <w:t xml:space="preserve"> 2024</w:t>
            </w:r>
            <w:r w:rsidR="004E14B3" w:rsidRPr="000D42C5">
              <w:rPr>
                <w:color w:val="000000" w:themeColor="text1"/>
              </w:rPr>
              <w:t>.</w:t>
            </w:r>
            <w:r w:rsidR="00332526">
              <w:rPr>
                <w:color w:val="000000" w:themeColor="text1"/>
              </w:rPr>
              <w:t xml:space="preserve">. </w:t>
            </w:r>
            <w:r w:rsidR="004E14B3" w:rsidRPr="000D42C5">
              <w:rPr>
                <w:color w:val="000000" w:themeColor="text1"/>
              </w:rPr>
              <w:t xml:space="preserve">Nastavila se suradnja s nastavnicom Ivanom Kliček, </w:t>
            </w:r>
            <w:proofErr w:type="spellStart"/>
            <w:r w:rsidR="004E14B3" w:rsidRPr="000D42C5">
              <w:rPr>
                <w:color w:val="000000" w:themeColor="text1"/>
              </w:rPr>
              <w:t>dipl.oec</w:t>
            </w:r>
            <w:proofErr w:type="spellEnd"/>
            <w:r w:rsidR="004E14B3" w:rsidRPr="000D42C5">
              <w:rPr>
                <w:color w:val="000000" w:themeColor="text1"/>
              </w:rPr>
              <w:t xml:space="preserve">., dok se praktična nastava odvijala u učionici u sjedištu Učilišta u suradnji s Romanom Berend </w:t>
            </w:r>
            <w:proofErr w:type="spellStart"/>
            <w:r w:rsidR="004E14B3" w:rsidRPr="000D42C5">
              <w:rPr>
                <w:color w:val="000000" w:themeColor="text1"/>
              </w:rPr>
              <w:t>Cetl</w:t>
            </w:r>
            <w:proofErr w:type="spellEnd"/>
            <w:r w:rsidR="004E14B3" w:rsidRPr="000D42C5">
              <w:rPr>
                <w:color w:val="000000" w:themeColor="text1"/>
              </w:rPr>
              <w:t>.</w:t>
            </w:r>
          </w:p>
          <w:p w14:paraId="00132717" w14:textId="08889B42" w:rsidR="00257A00" w:rsidRDefault="000D42C5" w:rsidP="004B2728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 obzirom na velik interes za program obrazovanja za stjecanje djelomične kvalifikacije knjigovođa/knjigovotkinja, </w:t>
            </w:r>
            <w:r w:rsidR="00332526">
              <w:rPr>
                <w:color w:val="000000" w:themeColor="text1"/>
              </w:rPr>
              <w:t>nedugo nakon</w:t>
            </w:r>
            <w:r>
              <w:rPr>
                <w:color w:val="000000" w:themeColor="text1"/>
              </w:rPr>
              <w:t xml:space="preserve"> završetk</w:t>
            </w:r>
            <w:r w:rsidR="00332526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 grupe 02-23, </w:t>
            </w:r>
            <w:r w:rsidR="00332526">
              <w:rPr>
                <w:color w:val="000000" w:themeColor="text1"/>
              </w:rPr>
              <w:t>započelo je obrazovanje za još 11 polaznica istog programa i to 29. travnja 2024.</w:t>
            </w:r>
            <w:r w:rsidR="008C7C83">
              <w:rPr>
                <w:color w:val="000000" w:themeColor="text1"/>
              </w:rPr>
              <w:t xml:space="preserve"> te još uvijek traje</w:t>
            </w:r>
            <w:r w:rsidR="00D234A6">
              <w:rPr>
                <w:color w:val="000000" w:themeColor="text1"/>
              </w:rPr>
              <w:t xml:space="preserve">. U izvođenju programa nastavljena je suradnja s Ivanom Kliček i Romanom Berend </w:t>
            </w:r>
            <w:proofErr w:type="spellStart"/>
            <w:r w:rsidR="00D234A6">
              <w:rPr>
                <w:color w:val="000000" w:themeColor="text1"/>
              </w:rPr>
              <w:t>Cetl</w:t>
            </w:r>
            <w:proofErr w:type="spellEnd"/>
            <w:r w:rsidR="00D234A6">
              <w:rPr>
                <w:color w:val="000000" w:themeColor="text1"/>
              </w:rPr>
              <w:t>. Nadalje, u 2024. s izvođenjem je započela i prva grupa programa obrazovanja za stjecanje mikrokvalifikacije uporaba informacijskih tehnologija u uredskom poslovanju</w:t>
            </w:r>
            <w:r w:rsidR="00257A00">
              <w:rPr>
                <w:color w:val="000000" w:themeColor="text1"/>
              </w:rPr>
              <w:t xml:space="preserve">, u koju je upisano sedam polaznica. Program traje 150 sati, a završetkom istog polaznice će biti osposobljene za osnovno i napredno korištenje informacijskih tehnologija te programa za stvaranje i </w:t>
            </w:r>
            <w:r w:rsidR="00257A00">
              <w:rPr>
                <w:color w:val="000000" w:themeColor="text1"/>
              </w:rPr>
              <w:lastRenderedPageBreak/>
              <w:t xml:space="preserve">obradu podataka. Nastavnik na ovom programu je Zoran Kovač. </w:t>
            </w:r>
            <w:r w:rsidR="00CA631F">
              <w:rPr>
                <w:color w:val="000000" w:themeColor="text1"/>
              </w:rPr>
              <w:t>Naposlijetku, u 2024. od formalnih programa obrazovanja odraslih, za 12 polaznica započelo je obrazovanje za stjecanje djelomične kvalifikacije njegovatelj/</w:t>
            </w:r>
            <w:proofErr w:type="spellStart"/>
            <w:r w:rsidR="00CA631F">
              <w:rPr>
                <w:color w:val="000000" w:themeColor="text1"/>
              </w:rPr>
              <w:t>ica</w:t>
            </w:r>
            <w:proofErr w:type="spellEnd"/>
            <w:r w:rsidR="00CA631F">
              <w:rPr>
                <w:color w:val="000000" w:themeColor="text1"/>
              </w:rPr>
              <w:t xml:space="preserve"> u institucionalnoj i izvaninstitucionalnoj skrbi o starijim i nemoćnim osobama, koji je ove godine verificiran sukladno novoj Metodologiji izrade programa obrazovanja odraslih te </w:t>
            </w:r>
            <w:r w:rsidR="00CD4A42">
              <w:rPr>
                <w:color w:val="000000" w:themeColor="text1"/>
              </w:rPr>
              <w:t>je ovo prva grupa koja se izvodi sukladno novom kurikulumu i u trajanju od 775 sati</w:t>
            </w:r>
            <w:r w:rsidR="00322A2E">
              <w:rPr>
                <w:color w:val="000000" w:themeColor="text1"/>
              </w:rPr>
              <w:t xml:space="preserve">. Nastavu izvode Damjan </w:t>
            </w:r>
            <w:proofErr w:type="spellStart"/>
            <w:r w:rsidR="00322A2E">
              <w:rPr>
                <w:color w:val="000000" w:themeColor="text1"/>
              </w:rPr>
              <w:t>Abou</w:t>
            </w:r>
            <w:proofErr w:type="spellEnd"/>
            <w:r w:rsidR="00322A2E">
              <w:rPr>
                <w:color w:val="000000" w:themeColor="text1"/>
              </w:rPr>
              <w:t xml:space="preserve"> Aldan te Ines Kos.</w:t>
            </w:r>
          </w:p>
          <w:p w14:paraId="038D3CBB" w14:textId="347A3447" w:rsidR="004E361A" w:rsidRDefault="004E361A" w:rsidP="004B2728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Većina polaznika za financiranje programa obrazovanja iskoristila je vaučer Hrvatskog zavoda za zapošljavanje. Konkretno, od </w:t>
            </w:r>
            <w:r w:rsidR="00DD4BE5">
              <w:rPr>
                <w:color w:val="000000" w:themeColor="text1"/>
              </w:rPr>
              <w:t xml:space="preserve">spomenutih pet obrazovnih grupa s ukupno </w:t>
            </w:r>
            <w:r w:rsidR="0006091B">
              <w:rPr>
                <w:color w:val="000000" w:themeColor="text1"/>
              </w:rPr>
              <w:t xml:space="preserve">49 </w:t>
            </w:r>
            <w:r w:rsidR="00DD4BE5">
              <w:rPr>
                <w:color w:val="000000" w:themeColor="text1"/>
              </w:rPr>
              <w:t xml:space="preserve">polaznika, </w:t>
            </w:r>
            <w:r w:rsidR="00773866">
              <w:rPr>
                <w:color w:val="000000" w:themeColor="text1"/>
              </w:rPr>
              <w:t xml:space="preserve">42 je iskoristilo vaučer, a 7 se odlučilo na samostalno plaćanje. </w:t>
            </w: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1553"/>
              <w:gridCol w:w="1553"/>
              <w:gridCol w:w="1553"/>
            </w:tblGrid>
            <w:tr w:rsidR="00832D1E" w14:paraId="3C7C8032" w14:textId="77777777" w:rsidTr="0099767F">
              <w:trPr>
                <w:trHeight w:val="340"/>
              </w:trPr>
              <w:tc>
                <w:tcPr>
                  <w:tcW w:w="4248" w:type="dxa"/>
                  <w:shd w:val="clear" w:color="auto" w:fill="FBD4B4" w:themeFill="accent6" w:themeFillTint="66"/>
                  <w:vAlign w:val="center"/>
                </w:tcPr>
                <w:p w14:paraId="5D7757D3" w14:textId="77777777" w:rsidR="00832D1E" w:rsidRPr="00832D1E" w:rsidRDefault="00832D1E" w:rsidP="0099767F">
                  <w:pPr>
                    <w:jc w:val="center"/>
                    <w:rPr>
                      <w:b/>
                      <w:bCs/>
                    </w:rPr>
                  </w:pPr>
                  <w:r w:rsidRPr="00832D1E">
                    <w:rPr>
                      <w:b/>
                      <w:bCs/>
                    </w:rPr>
                    <w:t>PROGRAM</w:t>
                  </w:r>
                </w:p>
              </w:tc>
              <w:tc>
                <w:tcPr>
                  <w:tcW w:w="1553" w:type="dxa"/>
                  <w:shd w:val="clear" w:color="auto" w:fill="FBD4B4" w:themeFill="accent6" w:themeFillTint="66"/>
                  <w:vAlign w:val="center"/>
                </w:tcPr>
                <w:p w14:paraId="46711A89" w14:textId="6B44F7B8" w:rsidR="0099767F" w:rsidRPr="00832D1E" w:rsidRDefault="00832D1E" w:rsidP="0099767F">
                  <w:pPr>
                    <w:jc w:val="center"/>
                    <w:rPr>
                      <w:b/>
                      <w:bCs/>
                    </w:rPr>
                  </w:pPr>
                  <w:r w:rsidRPr="00832D1E">
                    <w:rPr>
                      <w:b/>
                      <w:bCs/>
                    </w:rPr>
                    <w:t>UKUPNO</w:t>
                  </w:r>
                  <w:r w:rsidR="0099767F">
                    <w:rPr>
                      <w:b/>
                      <w:bCs/>
                    </w:rPr>
                    <w:t xml:space="preserve"> POLAZNIKA</w:t>
                  </w:r>
                </w:p>
              </w:tc>
              <w:tc>
                <w:tcPr>
                  <w:tcW w:w="1553" w:type="dxa"/>
                  <w:shd w:val="clear" w:color="auto" w:fill="FBD4B4" w:themeFill="accent6" w:themeFillTint="66"/>
                  <w:vAlign w:val="center"/>
                </w:tcPr>
                <w:p w14:paraId="7C13CE49" w14:textId="77777777" w:rsidR="00832D1E" w:rsidRPr="00832D1E" w:rsidRDefault="00832D1E" w:rsidP="0099767F">
                  <w:pPr>
                    <w:jc w:val="center"/>
                    <w:rPr>
                      <w:b/>
                      <w:bCs/>
                    </w:rPr>
                  </w:pPr>
                  <w:r w:rsidRPr="00832D1E">
                    <w:rPr>
                      <w:b/>
                      <w:bCs/>
                    </w:rPr>
                    <w:t>VAUČER</w:t>
                  </w:r>
                </w:p>
              </w:tc>
              <w:tc>
                <w:tcPr>
                  <w:tcW w:w="1553" w:type="dxa"/>
                  <w:shd w:val="clear" w:color="auto" w:fill="FBD4B4" w:themeFill="accent6" w:themeFillTint="66"/>
                  <w:vAlign w:val="center"/>
                </w:tcPr>
                <w:p w14:paraId="1EDDC287" w14:textId="47E991B6" w:rsidR="00832D1E" w:rsidRPr="00832D1E" w:rsidRDefault="00832D1E" w:rsidP="0099767F">
                  <w:pPr>
                    <w:jc w:val="center"/>
                    <w:rPr>
                      <w:b/>
                      <w:bCs/>
                    </w:rPr>
                  </w:pPr>
                  <w:r w:rsidRPr="00832D1E">
                    <w:rPr>
                      <w:b/>
                      <w:bCs/>
                    </w:rPr>
                    <w:t>SAMOSTALNO</w:t>
                  </w:r>
                  <w:r w:rsidR="0099767F">
                    <w:rPr>
                      <w:b/>
                      <w:bCs/>
                    </w:rPr>
                    <w:t xml:space="preserve"> PLAĆANJE</w:t>
                  </w:r>
                </w:p>
              </w:tc>
            </w:tr>
            <w:tr w:rsidR="00832D1E" w14:paraId="66EAFA91" w14:textId="77777777" w:rsidTr="0099767F">
              <w:tc>
                <w:tcPr>
                  <w:tcW w:w="4248" w:type="dxa"/>
                  <w:vAlign w:val="center"/>
                </w:tcPr>
                <w:p w14:paraId="0F4EDF20" w14:textId="77777777" w:rsidR="00832D1E" w:rsidRDefault="00832D1E" w:rsidP="0099767F">
                  <w:pPr>
                    <w:jc w:val="center"/>
                  </w:pPr>
                  <w:r>
                    <w:t xml:space="preserve">Program obrazovanja za stjecanje djelomične kvalifikacije </w:t>
                  </w:r>
                  <w:r w:rsidRPr="00E740C8">
                    <w:rPr>
                      <w:b/>
                      <w:bCs/>
                    </w:rPr>
                    <w:t>knjigovođa/knjigovotkinja 02-23</w:t>
                  </w:r>
                </w:p>
              </w:tc>
              <w:tc>
                <w:tcPr>
                  <w:tcW w:w="1553" w:type="dxa"/>
                  <w:vAlign w:val="center"/>
                </w:tcPr>
                <w:p w14:paraId="5FD283BF" w14:textId="77777777" w:rsidR="00832D1E" w:rsidRDefault="00832D1E" w:rsidP="0099767F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553" w:type="dxa"/>
                  <w:vAlign w:val="center"/>
                </w:tcPr>
                <w:p w14:paraId="2A152E46" w14:textId="77777777" w:rsidR="00832D1E" w:rsidRDefault="00832D1E" w:rsidP="0099767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553" w:type="dxa"/>
                  <w:vAlign w:val="center"/>
                </w:tcPr>
                <w:p w14:paraId="099CFEE3" w14:textId="77777777" w:rsidR="00832D1E" w:rsidRDefault="00832D1E" w:rsidP="0099767F">
                  <w:pPr>
                    <w:jc w:val="center"/>
                  </w:pPr>
                  <w:r>
                    <w:t>2</w:t>
                  </w:r>
                </w:p>
              </w:tc>
            </w:tr>
            <w:tr w:rsidR="00832D1E" w14:paraId="483D2646" w14:textId="77777777" w:rsidTr="0099767F">
              <w:tc>
                <w:tcPr>
                  <w:tcW w:w="4248" w:type="dxa"/>
                  <w:vAlign w:val="center"/>
                </w:tcPr>
                <w:p w14:paraId="5F9B7E0A" w14:textId="77777777" w:rsidR="00832D1E" w:rsidRDefault="00832D1E" w:rsidP="0099767F">
                  <w:pPr>
                    <w:jc w:val="center"/>
                  </w:pPr>
                  <w:r>
                    <w:t xml:space="preserve">Program obrazovanja za stjecanje mikrokvalifikacije </w:t>
                  </w:r>
                  <w:r w:rsidRPr="00E740C8">
                    <w:rPr>
                      <w:b/>
                      <w:bCs/>
                    </w:rPr>
                    <w:t>internetski marketing i brendiranje</w:t>
                  </w:r>
                </w:p>
              </w:tc>
              <w:tc>
                <w:tcPr>
                  <w:tcW w:w="1553" w:type="dxa"/>
                  <w:vAlign w:val="center"/>
                </w:tcPr>
                <w:p w14:paraId="6B3F3F04" w14:textId="77777777" w:rsidR="00832D1E" w:rsidRDefault="00832D1E" w:rsidP="0099767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553" w:type="dxa"/>
                  <w:vAlign w:val="center"/>
                </w:tcPr>
                <w:p w14:paraId="7461602E" w14:textId="77777777" w:rsidR="00832D1E" w:rsidRDefault="00832D1E" w:rsidP="0099767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553" w:type="dxa"/>
                  <w:vAlign w:val="center"/>
                </w:tcPr>
                <w:p w14:paraId="56B3BBEC" w14:textId="77777777" w:rsidR="00832D1E" w:rsidRDefault="00832D1E" w:rsidP="0099767F">
                  <w:pPr>
                    <w:jc w:val="center"/>
                  </w:pPr>
                  <w:r>
                    <w:t>2</w:t>
                  </w:r>
                </w:p>
              </w:tc>
            </w:tr>
            <w:tr w:rsidR="00832D1E" w14:paraId="7DE3FD5B" w14:textId="77777777" w:rsidTr="0099767F">
              <w:tc>
                <w:tcPr>
                  <w:tcW w:w="4248" w:type="dxa"/>
                  <w:vAlign w:val="center"/>
                </w:tcPr>
                <w:p w14:paraId="6CF22797" w14:textId="77777777" w:rsidR="00832D1E" w:rsidRDefault="00832D1E" w:rsidP="0099767F">
                  <w:pPr>
                    <w:jc w:val="center"/>
                  </w:pPr>
                  <w:r>
                    <w:t xml:space="preserve">Program obrazovanja za stjecanje djelomične kvalifikacije </w:t>
                  </w:r>
                  <w:r w:rsidRPr="00E740C8">
                    <w:rPr>
                      <w:b/>
                      <w:bCs/>
                    </w:rPr>
                    <w:t>knjigovođa/knjigovotkinja 01-24</w:t>
                  </w:r>
                </w:p>
              </w:tc>
              <w:tc>
                <w:tcPr>
                  <w:tcW w:w="1553" w:type="dxa"/>
                  <w:vAlign w:val="center"/>
                </w:tcPr>
                <w:p w14:paraId="20E5B5BB" w14:textId="77777777" w:rsidR="00832D1E" w:rsidRDefault="00832D1E" w:rsidP="0099767F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553" w:type="dxa"/>
                  <w:vAlign w:val="center"/>
                </w:tcPr>
                <w:p w14:paraId="277993BD" w14:textId="77777777" w:rsidR="00832D1E" w:rsidRDefault="00832D1E" w:rsidP="0099767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553" w:type="dxa"/>
                  <w:vAlign w:val="center"/>
                </w:tcPr>
                <w:p w14:paraId="7E25741A" w14:textId="77777777" w:rsidR="00832D1E" w:rsidRDefault="00832D1E" w:rsidP="0099767F">
                  <w:pPr>
                    <w:jc w:val="center"/>
                  </w:pPr>
                  <w:r>
                    <w:t>2</w:t>
                  </w:r>
                </w:p>
              </w:tc>
            </w:tr>
            <w:tr w:rsidR="00832D1E" w14:paraId="3DCD169A" w14:textId="77777777" w:rsidTr="0099767F">
              <w:tc>
                <w:tcPr>
                  <w:tcW w:w="4248" w:type="dxa"/>
                  <w:vAlign w:val="center"/>
                </w:tcPr>
                <w:p w14:paraId="2E7B8C43" w14:textId="77777777" w:rsidR="00832D1E" w:rsidRDefault="00832D1E" w:rsidP="0099767F">
                  <w:pPr>
                    <w:jc w:val="center"/>
                  </w:pPr>
                  <w:r>
                    <w:t xml:space="preserve">Program obrazovanja za stjecanje mikrokvalifikacije </w:t>
                  </w:r>
                  <w:r w:rsidRPr="00E740C8">
                    <w:rPr>
                      <w:b/>
                      <w:bCs/>
                    </w:rPr>
                    <w:t>uporaba informacijskih tehnologija u uredskom poslovanju</w:t>
                  </w:r>
                </w:p>
              </w:tc>
              <w:tc>
                <w:tcPr>
                  <w:tcW w:w="1553" w:type="dxa"/>
                  <w:vAlign w:val="center"/>
                </w:tcPr>
                <w:p w14:paraId="54C0B816" w14:textId="77777777" w:rsidR="00832D1E" w:rsidRDefault="00832D1E" w:rsidP="0099767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553" w:type="dxa"/>
                  <w:vAlign w:val="center"/>
                </w:tcPr>
                <w:p w14:paraId="0063045B" w14:textId="77777777" w:rsidR="00832D1E" w:rsidRDefault="00832D1E" w:rsidP="0099767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553" w:type="dxa"/>
                  <w:vAlign w:val="center"/>
                </w:tcPr>
                <w:p w14:paraId="71AABACC" w14:textId="77777777" w:rsidR="00832D1E" w:rsidRDefault="00832D1E" w:rsidP="0099767F">
                  <w:pPr>
                    <w:jc w:val="center"/>
                  </w:pPr>
                  <w:r>
                    <w:t>-</w:t>
                  </w:r>
                </w:p>
              </w:tc>
            </w:tr>
            <w:tr w:rsidR="00832D1E" w14:paraId="4D65D9D1" w14:textId="77777777" w:rsidTr="0099767F">
              <w:tc>
                <w:tcPr>
                  <w:tcW w:w="4248" w:type="dxa"/>
                  <w:vAlign w:val="center"/>
                </w:tcPr>
                <w:p w14:paraId="7FE8E8C9" w14:textId="77777777" w:rsidR="00832D1E" w:rsidRDefault="00832D1E" w:rsidP="0099767F">
                  <w:pPr>
                    <w:jc w:val="center"/>
                  </w:pPr>
                  <w:r>
                    <w:t xml:space="preserve">Program obrazovanja za stjecanje djelomične kvalifikacije </w:t>
                  </w:r>
                  <w:r w:rsidRPr="00E740C8">
                    <w:rPr>
                      <w:b/>
                      <w:bCs/>
                    </w:rPr>
                    <w:t>njegovatelj/</w:t>
                  </w:r>
                  <w:proofErr w:type="spellStart"/>
                  <w:r w:rsidRPr="00E740C8">
                    <w:rPr>
                      <w:b/>
                      <w:bCs/>
                    </w:rPr>
                    <w:t>ica</w:t>
                  </w:r>
                  <w:proofErr w:type="spellEnd"/>
                  <w:r w:rsidRPr="00E740C8">
                    <w:rPr>
                      <w:b/>
                      <w:bCs/>
                    </w:rPr>
                    <w:t xml:space="preserve"> u institucionalnoj i izvaninstitucionalnoj skrbi o starijim i nemoćnim osobama</w:t>
                  </w:r>
                </w:p>
              </w:tc>
              <w:tc>
                <w:tcPr>
                  <w:tcW w:w="1553" w:type="dxa"/>
                  <w:vAlign w:val="center"/>
                </w:tcPr>
                <w:p w14:paraId="253754DE" w14:textId="77777777" w:rsidR="00832D1E" w:rsidRDefault="00832D1E" w:rsidP="0099767F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553" w:type="dxa"/>
                  <w:vAlign w:val="center"/>
                </w:tcPr>
                <w:p w14:paraId="56BF8736" w14:textId="77777777" w:rsidR="00832D1E" w:rsidRDefault="00832D1E" w:rsidP="0099767F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1553" w:type="dxa"/>
                  <w:vAlign w:val="center"/>
                </w:tcPr>
                <w:p w14:paraId="0CB31629" w14:textId="77777777" w:rsidR="00832D1E" w:rsidRDefault="00832D1E" w:rsidP="0099767F">
                  <w:pPr>
                    <w:jc w:val="center"/>
                  </w:pPr>
                  <w:r>
                    <w:t>1</w:t>
                  </w:r>
                </w:p>
              </w:tc>
            </w:tr>
            <w:tr w:rsidR="00832D1E" w14:paraId="240334A7" w14:textId="77777777" w:rsidTr="0099767F">
              <w:tc>
                <w:tcPr>
                  <w:tcW w:w="4248" w:type="dxa"/>
                  <w:vAlign w:val="center"/>
                </w:tcPr>
                <w:p w14:paraId="5762063C" w14:textId="77777777" w:rsidR="00832D1E" w:rsidRPr="00E740C8" w:rsidRDefault="00832D1E" w:rsidP="0099767F">
                  <w:pPr>
                    <w:jc w:val="center"/>
                    <w:rPr>
                      <w:b/>
                      <w:bCs/>
                    </w:rPr>
                  </w:pPr>
                  <w:r w:rsidRPr="00E740C8">
                    <w:rPr>
                      <w:b/>
                      <w:bCs/>
                    </w:rPr>
                    <w:t>UKUPNO:</w:t>
                  </w:r>
                </w:p>
              </w:tc>
              <w:tc>
                <w:tcPr>
                  <w:tcW w:w="1553" w:type="dxa"/>
                  <w:vAlign w:val="center"/>
                </w:tcPr>
                <w:p w14:paraId="6696076F" w14:textId="77777777" w:rsidR="00832D1E" w:rsidRDefault="00832D1E" w:rsidP="0099767F">
                  <w:pPr>
                    <w:jc w:val="center"/>
                  </w:pPr>
                  <w:r>
                    <w:t>49</w:t>
                  </w:r>
                </w:p>
              </w:tc>
              <w:tc>
                <w:tcPr>
                  <w:tcW w:w="1553" w:type="dxa"/>
                  <w:vAlign w:val="center"/>
                </w:tcPr>
                <w:p w14:paraId="24A80CC9" w14:textId="77777777" w:rsidR="00832D1E" w:rsidRDefault="00832D1E" w:rsidP="0099767F">
                  <w:pPr>
                    <w:jc w:val="center"/>
                  </w:pPr>
                  <w:r>
                    <w:t>42</w:t>
                  </w:r>
                </w:p>
              </w:tc>
              <w:tc>
                <w:tcPr>
                  <w:tcW w:w="1553" w:type="dxa"/>
                  <w:vAlign w:val="center"/>
                </w:tcPr>
                <w:p w14:paraId="5DFF3E3B" w14:textId="77777777" w:rsidR="00832D1E" w:rsidRDefault="00832D1E" w:rsidP="0099767F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14:paraId="4F6B2BAC" w14:textId="77777777" w:rsidR="00832D1E" w:rsidRPr="00807D73" w:rsidRDefault="00832D1E" w:rsidP="004B2728">
            <w:pPr>
              <w:spacing w:line="360" w:lineRule="auto"/>
              <w:jc w:val="both"/>
              <w:rPr>
                <w:color w:val="000000" w:themeColor="text1"/>
              </w:rPr>
            </w:pPr>
          </w:p>
          <w:p w14:paraId="2F289C9D" w14:textId="6B7C6791" w:rsidR="00923FFD" w:rsidRPr="00807D73" w:rsidRDefault="000C25A7" w:rsidP="00D14042">
            <w:pPr>
              <w:spacing w:line="360" w:lineRule="auto"/>
              <w:jc w:val="both"/>
              <w:rPr>
                <w:color w:val="000000" w:themeColor="text1"/>
              </w:rPr>
            </w:pPr>
            <w:r w:rsidRPr="00807D73">
              <w:rPr>
                <w:color w:val="000000" w:themeColor="text1"/>
              </w:rPr>
              <w:t>Uz provedbu programa</w:t>
            </w:r>
            <w:r w:rsidR="00B05288" w:rsidRPr="00807D73">
              <w:rPr>
                <w:color w:val="000000" w:themeColor="text1"/>
              </w:rPr>
              <w:t xml:space="preserve"> i dalje se</w:t>
            </w:r>
            <w:r w:rsidRPr="00807D73">
              <w:rPr>
                <w:color w:val="000000" w:themeColor="text1"/>
              </w:rPr>
              <w:t xml:space="preserve"> kontinuirano radi i na verifikaciji novih te </w:t>
            </w:r>
            <w:proofErr w:type="spellStart"/>
            <w:r w:rsidRPr="00807D73">
              <w:rPr>
                <w:color w:val="000000" w:themeColor="text1"/>
              </w:rPr>
              <w:t>reverifikaciji</w:t>
            </w:r>
            <w:proofErr w:type="spellEnd"/>
            <w:r w:rsidRPr="00807D73">
              <w:rPr>
                <w:color w:val="000000" w:themeColor="text1"/>
              </w:rPr>
              <w:t xml:space="preserve"> postojećih programa obrazovanja odraslih sukladno novoj Metodologiji za izradu programa. </w:t>
            </w:r>
            <w:r w:rsidR="00923FFD" w:rsidRPr="00807D73">
              <w:rPr>
                <w:color w:val="000000" w:themeColor="text1"/>
              </w:rPr>
              <w:t xml:space="preserve">Tako </w:t>
            </w:r>
            <w:r w:rsidR="00557229" w:rsidRPr="00807D73">
              <w:rPr>
                <w:color w:val="000000" w:themeColor="text1"/>
              </w:rPr>
              <w:t>je</w:t>
            </w:r>
            <w:r w:rsidR="00324BA8" w:rsidRPr="00807D73">
              <w:rPr>
                <w:color w:val="000000" w:themeColor="text1"/>
              </w:rPr>
              <w:t>,</w:t>
            </w:r>
            <w:r w:rsidR="00557229" w:rsidRPr="00807D73">
              <w:rPr>
                <w:color w:val="000000" w:themeColor="text1"/>
              </w:rPr>
              <w:t xml:space="preserve"> </w:t>
            </w:r>
            <w:r w:rsidR="00B05288" w:rsidRPr="00807D73">
              <w:rPr>
                <w:color w:val="000000" w:themeColor="text1"/>
              </w:rPr>
              <w:t>uz već spomenuti program obrazovanja</w:t>
            </w:r>
            <w:r w:rsidR="00324BA8" w:rsidRPr="00807D73">
              <w:rPr>
                <w:color w:val="000000" w:themeColor="text1"/>
              </w:rPr>
              <w:t xml:space="preserve"> za stjecanje djelomične kvalifikacije njegovatelj/</w:t>
            </w:r>
            <w:proofErr w:type="spellStart"/>
            <w:r w:rsidR="00324BA8" w:rsidRPr="00807D73">
              <w:rPr>
                <w:color w:val="000000" w:themeColor="text1"/>
              </w:rPr>
              <w:t>ica</w:t>
            </w:r>
            <w:proofErr w:type="spellEnd"/>
            <w:r w:rsidR="00324BA8" w:rsidRPr="00807D73">
              <w:rPr>
                <w:color w:val="000000" w:themeColor="text1"/>
              </w:rPr>
              <w:t xml:space="preserve"> u institucionalnoj i izvaninstitucionalnoj skrbi o starijim i nemoćnim osobama,</w:t>
            </w:r>
            <w:r w:rsidR="00B05288" w:rsidRPr="00807D73">
              <w:rPr>
                <w:color w:val="000000" w:themeColor="text1"/>
              </w:rPr>
              <w:t xml:space="preserve"> </w:t>
            </w:r>
            <w:r w:rsidR="00557229" w:rsidRPr="00807D73">
              <w:rPr>
                <w:color w:val="000000" w:themeColor="text1"/>
              </w:rPr>
              <w:t xml:space="preserve">ishođeno </w:t>
            </w:r>
            <w:r w:rsidR="00324BA8" w:rsidRPr="00807D73">
              <w:rPr>
                <w:color w:val="000000" w:themeColor="text1"/>
              </w:rPr>
              <w:t xml:space="preserve">i </w:t>
            </w:r>
            <w:r w:rsidR="00557229" w:rsidRPr="00807D73">
              <w:rPr>
                <w:color w:val="000000" w:themeColor="text1"/>
              </w:rPr>
              <w:t xml:space="preserve">rješenje </w:t>
            </w:r>
            <w:r w:rsidR="00C770AE" w:rsidRPr="00807D73">
              <w:rPr>
                <w:color w:val="000000" w:themeColor="text1"/>
              </w:rPr>
              <w:t xml:space="preserve">Agencije za strukovno obrazovanje i obrazovanje odraslih </w:t>
            </w:r>
            <w:r w:rsidR="00557229" w:rsidRPr="00807D73">
              <w:rPr>
                <w:color w:val="000000" w:themeColor="text1"/>
              </w:rPr>
              <w:t xml:space="preserve">za program obrazovanja za stjecanje </w:t>
            </w:r>
            <w:r w:rsidR="00324BA8" w:rsidRPr="00807D73">
              <w:rPr>
                <w:color w:val="000000" w:themeColor="text1"/>
              </w:rPr>
              <w:t xml:space="preserve">djelomične </w:t>
            </w:r>
            <w:r w:rsidR="00557229" w:rsidRPr="00807D73">
              <w:rPr>
                <w:color w:val="000000" w:themeColor="text1"/>
              </w:rPr>
              <w:t>kvalifikacije</w:t>
            </w:r>
            <w:r w:rsidR="00324BA8" w:rsidRPr="00807D73">
              <w:rPr>
                <w:color w:val="000000" w:themeColor="text1"/>
              </w:rPr>
              <w:t xml:space="preserve"> </w:t>
            </w:r>
            <w:r w:rsidR="00324BA8" w:rsidRPr="00807D73">
              <w:rPr>
                <w:color w:val="000000" w:themeColor="text1"/>
              </w:rPr>
              <w:lastRenderedPageBreak/>
              <w:t>pomoćnik/</w:t>
            </w:r>
            <w:proofErr w:type="spellStart"/>
            <w:r w:rsidR="00324BA8" w:rsidRPr="00807D73">
              <w:rPr>
                <w:color w:val="000000" w:themeColor="text1"/>
              </w:rPr>
              <w:t>ca</w:t>
            </w:r>
            <w:proofErr w:type="spellEnd"/>
            <w:r w:rsidR="00C770AE" w:rsidRPr="00807D73">
              <w:rPr>
                <w:color w:val="000000" w:themeColor="text1"/>
              </w:rPr>
              <w:t xml:space="preserve"> u nastavi koji će kroz godinu biti verificiran pri Ministarstvu znanosti i obrazovanja. </w:t>
            </w:r>
            <w:r w:rsidR="00807D73" w:rsidRPr="00807D73">
              <w:rPr>
                <w:color w:val="000000" w:themeColor="text1"/>
              </w:rPr>
              <w:t xml:space="preserve">Nastavit će se i s verifikacijom drugih programa, ovisno o dostupnosti i interesu. </w:t>
            </w:r>
            <w:r w:rsidR="00466DDE" w:rsidRPr="00807D73">
              <w:rPr>
                <w:color w:val="000000" w:themeColor="text1"/>
              </w:rPr>
              <w:t xml:space="preserve"> </w:t>
            </w:r>
          </w:p>
          <w:p w14:paraId="4794944F" w14:textId="28FA2FFA" w:rsidR="00CF207A" w:rsidRPr="00F94067" w:rsidRDefault="00CF207A" w:rsidP="004B2728">
            <w:pPr>
              <w:spacing w:line="360" w:lineRule="auto"/>
              <w:jc w:val="both"/>
              <w:rPr>
                <w:b/>
                <w:bCs/>
                <w:color w:val="000000" w:themeColor="text1"/>
              </w:rPr>
            </w:pPr>
            <w:r w:rsidRPr="00F94067">
              <w:rPr>
                <w:b/>
                <w:bCs/>
                <w:color w:val="000000" w:themeColor="text1"/>
              </w:rPr>
              <w:t xml:space="preserve">SAMOVREDNOVANJE I VANJSKO VREDNOVANJE USTANOVA </w:t>
            </w:r>
          </w:p>
          <w:p w14:paraId="58461A72" w14:textId="1C0028CE" w:rsidR="00A02357" w:rsidRPr="00172C6C" w:rsidRDefault="00723781" w:rsidP="00172C6C">
            <w:pPr>
              <w:spacing w:line="360" w:lineRule="auto"/>
              <w:jc w:val="both"/>
              <w:rPr>
                <w:color w:val="000000" w:themeColor="text1"/>
              </w:rPr>
            </w:pPr>
            <w:r w:rsidRPr="00F94067">
              <w:rPr>
                <w:color w:val="000000" w:themeColor="text1"/>
              </w:rPr>
              <w:t xml:space="preserve">I dalje je vrlo aktualna tema te velika </w:t>
            </w:r>
            <w:r w:rsidR="008014F5" w:rsidRPr="00F94067">
              <w:rPr>
                <w:color w:val="000000" w:themeColor="text1"/>
              </w:rPr>
              <w:t>novost i izazov u sustavu obrazovanja odraslih uvođenje procedura i pravilnika vezanih uz osiguravanje kvalitete u obrazovanju odraslih.</w:t>
            </w:r>
            <w:r w:rsidRPr="00F94067">
              <w:rPr>
                <w:color w:val="000000" w:themeColor="text1"/>
              </w:rPr>
              <w:t xml:space="preserve"> </w:t>
            </w:r>
            <w:r w:rsidR="00363EF9" w:rsidRPr="00F94067">
              <w:rPr>
                <w:color w:val="000000" w:themeColor="text1"/>
              </w:rPr>
              <w:t xml:space="preserve">Dosad je proveden jedan ciklus vanjskog vrednovanja ustanova za obrazovanje odraslih u Republici Hrvatskoj te su za drugu polovicu godine najavljena predavanja i konferencije </w:t>
            </w:r>
            <w:r w:rsidR="00F94067" w:rsidRPr="00F94067">
              <w:rPr>
                <w:color w:val="000000" w:themeColor="text1"/>
              </w:rPr>
              <w:t xml:space="preserve">na </w:t>
            </w:r>
            <w:r w:rsidR="00363EF9" w:rsidRPr="00F94067">
              <w:rPr>
                <w:color w:val="000000" w:themeColor="text1"/>
              </w:rPr>
              <w:t xml:space="preserve">kojima će se predstaviti rezultati, izazovi i savjeti za uspješnu provedbu procesa </w:t>
            </w:r>
            <w:proofErr w:type="spellStart"/>
            <w:r w:rsidR="00363EF9" w:rsidRPr="00F94067">
              <w:rPr>
                <w:color w:val="000000" w:themeColor="text1"/>
              </w:rPr>
              <w:t>samovrednovanja</w:t>
            </w:r>
            <w:proofErr w:type="spellEnd"/>
            <w:r w:rsidR="00363EF9" w:rsidRPr="00F94067">
              <w:rPr>
                <w:color w:val="000000" w:themeColor="text1"/>
              </w:rPr>
              <w:t xml:space="preserve"> i vanjskog vrednovanja. </w:t>
            </w:r>
            <w:r w:rsidR="00305F42">
              <w:rPr>
                <w:color w:val="000000" w:themeColor="text1"/>
              </w:rPr>
              <w:t>K</w:t>
            </w:r>
            <w:r w:rsidR="00B00C55" w:rsidRPr="00F94067">
              <w:rPr>
                <w:color w:val="000000" w:themeColor="text1"/>
              </w:rPr>
              <w:t xml:space="preserve">roz godinu su uvedene određene promjene – prikupljanje i obrada anketa, pomaci u internacionalizaciji </w:t>
            </w:r>
            <w:r w:rsidR="00C22708" w:rsidRPr="00F94067">
              <w:rPr>
                <w:color w:val="000000" w:themeColor="text1"/>
              </w:rPr>
              <w:t xml:space="preserve">znanja i iskustava i sl., a kontinuirano se radi </w:t>
            </w:r>
            <w:r w:rsidR="00F94067" w:rsidRPr="00F94067">
              <w:rPr>
                <w:color w:val="000000" w:themeColor="text1"/>
              </w:rPr>
              <w:t xml:space="preserve">i </w:t>
            </w:r>
            <w:r w:rsidR="00C22708" w:rsidRPr="00F94067">
              <w:rPr>
                <w:color w:val="000000" w:themeColor="text1"/>
              </w:rPr>
              <w:t xml:space="preserve">na uspostavljanju još čitavog niza mehanizama </w:t>
            </w:r>
            <w:proofErr w:type="spellStart"/>
            <w:r w:rsidR="00C22708" w:rsidRPr="00F94067">
              <w:rPr>
                <w:color w:val="000000" w:themeColor="text1"/>
              </w:rPr>
              <w:t>samovrednovanja</w:t>
            </w:r>
            <w:proofErr w:type="spellEnd"/>
            <w:r w:rsidR="00C22708" w:rsidRPr="00F94067">
              <w:rPr>
                <w:color w:val="000000" w:themeColor="text1"/>
              </w:rPr>
              <w:t xml:space="preserve"> radi pripreme za vanjsko vrednovanje. </w:t>
            </w:r>
          </w:p>
          <w:p w14:paraId="6D83F5CF" w14:textId="45FE32F9" w:rsidR="00DE30B0" w:rsidRPr="00172C6C" w:rsidRDefault="00172C6C" w:rsidP="004B2728">
            <w:pPr>
              <w:pStyle w:val="Bezproreda"/>
              <w:widowControl w:val="0"/>
              <w:spacing w:line="360" w:lineRule="auto"/>
              <w:jc w:val="both"/>
              <w:rPr>
                <w:rFonts w:cstheme="minorHAnsi"/>
                <w:b/>
                <w:bCs/>
                <w:lang w:val="hr-HR"/>
              </w:rPr>
            </w:pPr>
            <w:r w:rsidRPr="00172C6C">
              <w:rPr>
                <w:rFonts w:cstheme="minorHAnsi"/>
                <w:b/>
                <w:bCs/>
                <w:lang w:val="hr-HR"/>
              </w:rPr>
              <w:t>ERASMUS+</w:t>
            </w:r>
          </w:p>
          <w:p w14:paraId="5A15AFE9" w14:textId="6066768B" w:rsidR="00172C6C" w:rsidRDefault="00172C6C" w:rsidP="004B2728">
            <w:pPr>
              <w:pStyle w:val="Bezproreda"/>
              <w:widowControl w:val="0"/>
              <w:spacing w:line="360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POU Križevci ove je godine</w:t>
            </w:r>
            <w:r w:rsidR="00FC4891">
              <w:rPr>
                <w:rFonts w:cstheme="minorHAnsi"/>
                <w:lang w:val="hr-HR"/>
              </w:rPr>
              <w:t xml:space="preserve"> </w:t>
            </w:r>
            <w:r>
              <w:rPr>
                <w:rFonts w:cstheme="minorHAnsi"/>
                <w:lang w:val="hr-HR"/>
              </w:rPr>
              <w:t xml:space="preserve">u veljači, prijavilo projekt </w:t>
            </w:r>
            <w:r w:rsidR="00FC4891">
              <w:rPr>
                <w:rFonts w:cstheme="minorHAnsi"/>
                <w:lang w:val="hr-HR"/>
              </w:rPr>
              <w:t>pod nazivom „</w:t>
            </w:r>
            <w:proofErr w:type="spellStart"/>
            <w:r w:rsidR="00FC4891">
              <w:rPr>
                <w:rFonts w:cstheme="minorHAnsi"/>
                <w:lang w:val="hr-HR"/>
              </w:rPr>
              <w:t>HarmonyHub</w:t>
            </w:r>
            <w:proofErr w:type="spellEnd"/>
            <w:r w:rsidR="00FC4891">
              <w:rPr>
                <w:rFonts w:cstheme="minorHAnsi"/>
                <w:lang w:val="hr-HR"/>
              </w:rPr>
              <w:t xml:space="preserve">“ </w:t>
            </w:r>
            <w:r w:rsidR="00A047A6">
              <w:rPr>
                <w:rFonts w:cstheme="minorHAnsi"/>
                <w:lang w:val="hr-HR"/>
              </w:rPr>
              <w:t xml:space="preserve">na natječaj </w:t>
            </w:r>
            <w:r w:rsidR="00FC4891">
              <w:rPr>
                <w:rFonts w:cstheme="minorHAnsi"/>
                <w:lang w:val="hr-HR"/>
              </w:rPr>
              <w:t xml:space="preserve">Agencije za </w:t>
            </w:r>
            <w:r w:rsidR="00B27712">
              <w:rPr>
                <w:rFonts w:cstheme="minorHAnsi"/>
                <w:lang w:val="hr-HR"/>
              </w:rPr>
              <w:t xml:space="preserve">mobilnost i programe EU, konkretno za aktivnosti KA122 </w:t>
            </w:r>
            <w:r w:rsidR="00B27712" w:rsidRPr="00B27712">
              <w:rPr>
                <w:rFonts w:cstheme="minorHAnsi"/>
                <w:lang w:val="hr-HR"/>
              </w:rPr>
              <w:t>kratkoročni projekti mobilnosti u području obrazovanja odraslih</w:t>
            </w:r>
            <w:r w:rsidR="00B27712">
              <w:rPr>
                <w:rFonts w:cstheme="minorHAnsi"/>
                <w:lang w:val="hr-HR"/>
              </w:rPr>
              <w:t xml:space="preserve"> te je projekt prihvaćen i odobren, a kroz lipanj je </w:t>
            </w:r>
            <w:r w:rsidR="00C77416">
              <w:rPr>
                <w:rFonts w:cstheme="minorHAnsi"/>
                <w:lang w:val="hr-HR"/>
              </w:rPr>
              <w:t xml:space="preserve">i potpisan ugovor o dodjeli sredstava. Time je POU Križevci odobreno 10.400,00 eura za dvije kratkoročne mobilnosti. </w:t>
            </w:r>
            <w:r w:rsidR="00FF7D76">
              <w:rPr>
                <w:rFonts w:cstheme="minorHAnsi"/>
                <w:lang w:val="hr-HR"/>
              </w:rPr>
              <w:t>Službeni</w:t>
            </w:r>
            <w:r w:rsidR="00C77416">
              <w:rPr>
                <w:rFonts w:cstheme="minorHAnsi"/>
                <w:lang w:val="hr-HR"/>
              </w:rPr>
              <w:t xml:space="preserve"> početak projekta je u prosincu 2024., a završetak u svibnju 2025. do kada će se održati </w:t>
            </w:r>
            <w:r w:rsidR="00E64F47">
              <w:rPr>
                <w:rFonts w:cstheme="minorHAnsi"/>
                <w:lang w:val="hr-HR"/>
              </w:rPr>
              <w:t xml:space="preserve">putovanja na dva strukturirana tečaja u Španjolskoj i Italiji. Teme tečaja i </w:t>
            </w:r>
            <w:r w:rsidR="00967102">
              <w:rPr>
                <w:rFonts w:cstheme="minorHAnsi"/>
                <w:lang w:val="hr-HR"/>
              </w:rPr>
              <w:t>projekta</w:t>
            </w:r>
            <w:r w:rsidR="00E64F47">
              <w:rPr>
                <w:rFonts w:cstheme="minorHAnsi"/>
                <w:lang w:val="hr-HR"/>
              </w:rPr>
              <w:t xml:space="preserve"> odnose se na razvoj mekih vještina – </w:t>
            </w:r>
            <w:r w:rsidR="006C1F8E">
              <w:rPr>
                <w:rFonts w:cstheme="minorHAnsi"/>
                <w:lang w:val="hr-HR"/>
              </w:rPr>
              <w:t xml:space="preserve">efektivne </w:t>
            </w:r>
            <w:r w:rsidR="00E64F47">
              <w:rPr>
                <w:rFonts w:cstheme="minorHAnsi"/>
                <w:lang w:val="hr-HR"/>
              </w:rPr>
              <w:t>komunikacije, rješavanja konflikata</w:t>
            </w:r>
            <w:r w:rsidR="00967102">
              <w:rPr>
                <w:rFonts w:cstheme="minorHAnsi"/>
                <w:lang w:val="hr-HR"/>
              </w:rPr>
              <w:t xml:space="preserve"> i </w:t>
            </w:r>
            <w:r w:rsidR="00E64F47">
              <w:rPr>
                <w:rFonts w:cstheme="minorHAnsi"/>
                <w:lang w:val="hr-HR"/>
              </w:rPr>
              <w:t>motivacije</w:t>
            </w:r>
            <w:r w:rsidR="00967102">
              <w:rPr>
                <w:rFonts w:cstheme="minorHAnsi"/>
                <w:lang w:val="hr-HR"/>
              </w:rPr>
              <w:t xml:space="preserve">. </w:t>
            </w:r>
          </w:p>
          <w:p w14:paraId="458B24C4" w14:textId="77777777" w:rsidR="00172C6C" w:rsidRPr="00390238" w:rsidRDefault="00172C6C" w:rsidP="004B2728">
            <w:pPr>
              <w:pStyle w:val="Bezproreda"/>
              <w:widowControl w:val="0"/>
              <w:spacing w:line="360" w:lineRule="auto"/>
              <w:jc w:val="both"/>
              <w:rPr>
                <w:rFonts w:cstheme="minorHAnsi"/>
                <w:lang w:val="hr-HR"/>
              </w:rPr>
            </w:pPr>
          </w:p>
          <w:p w14:paraId="2B5B9055" w14:textId="2E70FCA5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b/>
                <w:bCs/>
                <w:lang w:val="hr-HR"/>
              </w:rPr>
            </w:pPr>
            <w:r w:rsidRPr="00390238">
              <w:rPr>
                <w:b/>
                <w:bCs/>
                <w:lang w:val="hr-HR"/>
              </w:rPr>
              <w:t>SPRAVIŠČE 202</w:t>
            </w:r>
            <w:r w:rsidR="008150A6">
              <w:rPr>
                <w:b/>
                <w:bCs/>
                <w:lang w:val="hr-HR"/>
              </w:rPr>
              <w:t>4</w:t>
            </w:r>
            <w:r w:rsidRPr="00390238">
              <w:rPr>
                <w:b/>
                <w:bCs/>
                <w:lang w:val="hr-HR"/>
              </w:rPr>
              <w:t>.</w:t>
            </w:r>
          </w:p>
          <w:p w14:paraId="259D55D0" w14:textId="45A8023C" w:rsidR="00D331CF" w:rsidRPr="00390238" w:rsidRDefault="00F96125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Ove</w:t>
            </w:r>
            <w:r w:rsidR="00416C05" w:rsidRPr="00390238">
              <w:rPr>
                <w:lang w:val="hr-HR"/>
              </w:rPr>
              <w:t xml:space="preserve"> je godine</w:t>
            </w:r>
            <w:r w:rsidR="004A3318" w:rsidRPr="00390238">
              <w:rPr>
                <w:lang w:val="hr-HR"/>
              </w:rPr>
              <w:t xml:space="preserve">, u mjesecu lipnju, od </w:t>
            </w:r>
            <w:r w:rsidR="009D19B2">
              <w:rPr>
                <w:lang w:val="hr-HR"/>
              </w:rPr>
              <w:t>7</w:t>
            </w:r>
            <w:r w:rsidR="004A3318" w:rsidRPr="00390238">
              <w:rPr>
                <w:lang w:val="hr-HR"/>
              </w:rPr>
              <w:t xml:space="preserve">. do </w:t>
            </w:r>
            <w:r w:rsidR="009D19B2">
              <w:rPr>
                <w:lang w:val="hr-HR"/>
              </w:rPr>
              <w:t>9</w:t>
            </w:r>
            <w:r w:rsidR="004A3318" w:rsidRPr="00390238">
              <w:rPr>
                <w:lang w:val="hr-HR"/>
              </w:rPr>
              <w:t>. lipnja 202</w:t>
            </w:r>
            <w:r w:rsidR="009D19B2">
              <w:rPr>
                <w:lang w:val="hr-HR"/>
              </w:rPr>
              <w:t>4</w:t>
            </w:r>
            <w:r w:rsidR="004A3318" w:rsidRPr="00390238">
              <w:rPr>
                <w:lang w:val="hr-HR"/>
              </w:rPr>
              <w:t xml:space="preserve">. održano  Križevačko veliko spravišče. I ove je godine Pučko otvoreno učilište Križevci bilo organizator Malog </w:t>
            </w:r>
            <w:proofErr w:type="spellStart"/>
            <w:r w:rsidR="004A3318" w:rsidRPr="00390238">
              <w:rPr>
                <w:lang w:val="hr-HR"/>
              </w:rPr>
              <w:t>spravišča</w:t>
            </w:r>
            <w:proofErr w:type="spellEnd"/>
            <w:r w:rsidR="004A3318" w:rsidRPr="00390238">
              <w:rPr>
                <w:lang w:val="hr-HR"/>
              </w:rPr>
              <w:t xml:space="preserve">, u petak </w:t>
            </w:r>
            <w:r w:rsidR="00731EF3">
              <w:rPr>
                <w:lang w:val="hr-HR"/>
              </w:rPr>
              <w:t>7</w:t>
            </w:r>
            <w:r w:rsidR="004A3318" w:rsidRPr="00390238">
              <w:rPr>
                <w:lang w:val="hr-HR"/>
              </w:rPr>
              <w:t xml:space="preserve">. lipnja, s </w:t>
            </w:r>
            <w:r w:rsidR="00416C05" w:rsidRPr="00390238">
              <w:rPr>
                <w:lang w:val="hr-HR"/>
              </w:rPr>
              <w:t>15 točaka</w:t>
            </w:r>
            <w:r w:rsidR="004A3318" w:rsidRPr="00390238">
              <w:rPr>
                <w:lang w:val="hr-HR"/>
              </w:rPr>
              <w:t xml:space="preserve">, od toga dječji vrtići, osnovne škole, plesni centri i zborovi Križevaca i okolice. Voditelji su bili polaznici Lutkarskog kazališta Petrica Pučkog otvorenog učilišta Križevci pod voditeljstvom Tomislave Topolovec. </w:t>
            </w:r>
            <w:r w:rsidR="00BF4AC9" w:rsidRPr="00390238">
              <w:rPr>
                <w:lang w:val="hr-HR"/>
              </w:rPr>
              <w:t>Drugi događaj u organi</w:t>
            </w:r>
            <w:r w:rsidR="004D72E4" w:rsidRPr="00390238">
              <w:rPr>
                <w:lang w:val="hr-HR"/>
              </w:rPr>
              <w:t>zaciji Učilišta je</w:t>
            </w:r>
            <w:r w:rsidR="004A3318" w:rsidRPr="00390238">
              <w:rPr>
                <w:lang w:val="hr-HR"/>
              </w:rPr>
              <w:t xml:space="preserve"> </w:t>
            </w:r>
            <w:r w:rsidR="004D72E4" w:rsidRPr="00390238">
              <w:rPr>
                <w:lang w:val="hr-HR"/>
              </w:rPr>
              <w:t xml:space="preserve"> Dječja spraviščijada</w:t>
            </w:r>
            <w:r w:rsidR="00CA5F01" w:rsidRPr="00390238">
              <w:rPr>
                <w:lang w:val="hr-HR"/>
              </w:rPr>
              <w:t xml:space="preserve"> znanosti i kulture</w:t>
            </w:r>
            <w:r w:rsidR="0084451C" w:rsidRPr="00390238">
              <w:rPr>
                <w:lang w:val="hr-HR"/>
              </w:rPr>
              <w:t xml:space="preserve"> </w:t>
            </w:r>
            <w:r w:rsidR="00CA5F01" w:rsidRPr="00390238">
              <w:rPr>
                <w:lang w:val="hr-HR"/>
              </w:rPr>
              <w:t>na Ljetnoj pozornici</w:t>
            </w:r>
            <w:r w:rsidR="0084451C" w:rsidRPr="00390238">
              <w:rPr>
                <w:lang w:val="hr-HR"/>
              </w:rPr>
              <w:t xml:space="preserve"> u suradnji </w:t>
            </w:r>
            <w:r w:rsidR="004A3318" w:rsidRPr="00390238">
              <w:rPr>
                <w:lang w:val="hr-HR"/>
              </w:rPr>
              <w:t xml:space="preserve"> </w:t>
            </w:r>
            <w:r w:rsidR="0084451C" w:rsidRPr="00390238">
              <w:rPr>
                <w:lang w:val="hr-HR"/>
              </w:rPr>
              <w:t xml:space="preserve">s </w:t>
            </w:r>
            <w:r w:rsidR="004A3318" w:rsidRPr="00390238">
              <w:rPr>
                <w:lang w:val="hr-HR"/>
              </w:rPr>
              <w:t>Udrug</w:t>
            </w:r>
            <w:r w:rsidR="0084451C" w:rsidRPr="00390238">
              <w:rPr>
                <w:lang w:val="hr-HR"/>
              </w:rPr>
              <w:t>om</w:t>
            </w:r>
            <w:r w:rsidR="004A3318" w:rsidRPr="00390238">
              <w:rPr>
                <w:lang w:val="hr-HR"/>
              </w:rPr>
              <w:t xml:space="preserve"> P.O.I.N.T, Gradsk</w:t>
            </w:r>
            <w:r w:rsidR="0084451C" w:rsidRPr="00390238">
              <w:rPr>
                <w:lang w:val="hr-HR"/>
              </w:rPr>
              <w:t>om</w:t>
            </w:r>
            <w:r w:rsidR="004A3318" w:rsidRPr="00390238">
              <w:rPr>
                <w:lang w:val="hr-HR"/>
              </w:rPr>
              <w:t xml:space="preserve"> </w:t>
            </w:r>
            <w:r w:rsidR="0084451C" w:rsidRPr="00390238">
              <w:rPr>
                <w:lang w:val="hr-HR"/>
              </w:rPr>
              <w:t xml:space="preserve">knjižnicom </w:t>
            </w:r>
            <w:r w:rsidR="004A3318" w:rsidRPr="00390238">
              <w:rPr>
                <w:lang w:val="hr-HR"/>
              </w:rPr>
              <w:t>Franjo Marković</w:t>
            </w:r>
            <w:r w:rsidR="0084451C" w:rsidRPr="00390238">
              <w:rPr>
                <w:lang w:val="hr-HR"/>
              </w:rPr>
              <w:t>,</w:t>
            </w:r>
            <w:r w:rsidR="004A3318" w:rsidRPr="00390238">
              <w:rPr>
                <w:lang w:val="hr-HR"/>
              </w:rPr>
              <w:t xml:space="preserve"> Astronomsk</w:t>
            </w:r>
            <w:r w:rsidR="0084451C" w:rsidRPr="00390238">
              <w:rPr>
                <w:lang w:val="hr-HR"/>
              </w:rPr>
              <w:t xml:space="preserve">om </w:t>
            </w:r>
            <w:r w:rsidR="004A3318" w:rsidRPr="00390238">
              <w:rPr>
                <w:lang w:val="hr-HR"/>
              </w:rPr>
              <w:t>udrug</w:t>
            </w:r>
            <w:r w:rsidR="0084451C" w:rsidRPr="00390238">
              <w:rPr>
                <w:lang w:val="hr-HR"/>
              </w:rPr>
              <w:t>om</w:t>
            </w:r>
            <w:r w:rsidR="004A3318" w:rsidRPr="00390238">
              <w:rPr>
                <w:lang w:val="hr-HR"/>
              </w:rPr>
              <w:t xml:space="preserve"> </w:t>
            </w:r>
            <w:proofErr w:type="spellStart"/>
            <w:r w:rsidR="004A3318" w:rsidRPr="00390238">
              <w:rPr>
                <w:lang w:val="hr-HR"/>
              </w:rPr>
              <w:t>Perzeidi</w:t>
            </w:r>
            <w:proofErr w:type="spellEnd"/>
            <w:r w:rsidR="0084451C" w:rsidRPr="00390238">
              <w:rPr>
                <w:lang w:val="hr-HR"/>
              </w:rPr>
              <w:t xml:space="preserve">, </w:t>
            </w:r>
            <w:r w:rsidR="00E37B15" w:rsidRPr="00390238">
              <w:rPr>
                <w:lang w:val="hr-HR"/>
              </w:rPr>
              <w:t>Odredom izviđača Kalnik</w:t>
            </w:r>
            <w:r w:rsidR="00731EF3">
              <w:rPr>
                <w:lang w:val="hr-HR"/>
              </w:rPr>
              <w:t xml:space="preserve">. </w:t>
            </w:r>
            <w:r w:rsidR="001E4A40" w:rsidRPr="00390238">
              <w:rPr>
                <w:lang w:val="hr-HR"/>
              </w:rPr>
              <w:t xml:space="preserve"> </w:t>
            </w:r>
            <w:r w:rsidR="004A3318" w:rsidRPr="00390238">
              <w:rPr>
                <w:lang w:val="hr-HR"/>
              </w:rPr>
              <w:t>Spraviščijada se odvila u subotu</w:t>
            </w:r>
            <w:r w:rsidR="00641CDF" w:rsidRPr="00390238">
              <w:rPr>
                <w:lang w:val="hr-HR"/>
              </w:rPr>
              <w:t xml:space="preserve"> </w:t>
            </w:r>
            <w:r w:rsidR="002729B1">
              <w:rPr>
                <w:lang w:val="hr-HR"/>
              </w:rPr>
              <w:t>8</w:t>
            </w:r>
            <w:r w:rsidR="001E4A40" w:rsidRPr="00390238">
              <w:rPr>
                <w:lang w:val="hr-HR"/>
              </w:rPr>
              <w:t xml:space="preserve">. </w:t>
            </w:r>
            <w:r w:rsidR="00641CDF" w:rsidRPr="00390238">
              <w:rPr>
                <w:lang w:val="hr-HR"/>
              </w:rPr>
              <w:t xml:space="preserve">6. </w:t>
            </w:r>
            <w:r w:rsidR="004A3318" w:rsidRPr="00390238">
              <w:rPr>
                <w:lang w:val="hr-HR"/>
              </w:rPr>
              <w:t xml:space="preserve">od </w:t>
            </w:r>
            <w:r w:rsidR="002729B1">
              <w:rPr>
                <w:lang w:val="hr-HR"/>
              </w:rPr>
              <w:t>10</w:t>
            </w:r>
            <w:r w:rsidR="004A3318" w:rsidRPr="00390238">
              <w:rPr>
                <w:lang w:val="hr-HR"/>
              </w:rPr>
              <w:t xml:space="preserve"> do 1</w:t>
            </w:r>
            <w:r w:rsidR="002729B1">
              <w:rPr>
                <w:lang w:val="hr-HR"/>
              </w:rPr>
              <w:t>3</w:t>
            </w:r>
            <w:r w:rsidR="004A3318" w:rsidRPr="00390238">
              <w:rPr>
                <w:lang w:val="hr-HR"/>
              </w:rPr>
              <w:t xml:space="preserve"> sati te se pokazala vrlo uspješnom, a tematski je predstavljala spoj kulture, igre i znanosti (promatranje zvijezda, </w:t>
            </w:r>
            <w:proofErr w:type="spellStart"/>
            <w:r w:rsidR="004A3318" w:rsidRPr="00390238">
              <w:rPr>
                <w:lang w:val="hr-HR"/>
              </w:rPr>
              <w:t>street</w:t>
            </w:r>
            <w:proofErr w:type="spellEnd"/>
            <w:r w:rsidR="004A3318" w:rsidRPr="00390238">
              <w:rPr>
                <w:lang w:val="hr-HR"/>
              </w:rPr>
              <w:t xml:space="preserve"> art, </w:t>
            </w:r>
            <w:proofErr w:type="spellStart"/>
            <w:r w:rsidR="004A3318" w:rsidRPr="00390238">
              <w:rPr>
                <w:lang w:val="hr-HR"/>
              </w:rPr>
              <w:t>storytelling</w:t>
            </w:r>
            <w:proofErr w:type="spellEnd"/>
            <w:r w:rsidR="004A3318" w:rsidRPr="00390238">
              <w:rPr>
                <w:lang w:val="hr-HR"/>
              </w:rPr>
              <w:t xml:space="preserve">, dječja predstava, sajam knjiga, </w:t>
            </w:r>
            <w:r w:rsidR="001E4A40" w:rsidRPr="00390238">
              <w:rPr>
                <w:lang w:val="hr-HR"/>
              </w:rPr>
              <w:t>razgled Zvjezdarnice, oslikavanje torbi</w:t>
            </w:r>
            <w:r w:rsidR="00DF2C75" w:rsidRPr="00390238">
              <w:rPr>
                <w:lang w:val="hr-HR"/>
              </w:rPr>
              <w:t>ca, demonstracije igara izviđača</w:t>
            </w:r>
            <w:r w:rsidR="00173E89" w:rsidRPr="00390238">
              <w:rPr>
                <w:lang w:val="hr-HR"/>
              </w:rPr>
              <w:t>, p</w:t>
            </w:r>
            <w:r w:rsidR="00DF2C75" w:rsidRPr="00390238">
              <w:rPr>
                <w:lang w:val="hr-HR"/>
              </w:rPr>
              <w:t>ostavljanje šato</w:t>
            </w:r>
            <w:r w:rsidR="00173E89" w:rsidRPr="00390238">
              <w:rPr>
                <w:lang w:val="hr-HR"/>
              </w:rPr>
              <w:t>ra, itd</w:t>
            </w:r>
            <w:r w:rsidR="004A3318" w:rsidRPr="00390238">
              <w:rPr>
                <w:lang w:val="hr-HR"/>
              </w:rPr>
              <w:t xml:space="preserve">...). Za vrijeme sva tri dana trajanja Križevačkog </w:t>
            </w:r>
            <w:proofErr w:type="spellStart"/>
            <w:r w:rsidR="004A3318" w:rsidRPr="00390238">
              <w:rPr>
                <w:lang w:val="hr-HR"/>
              </w:rPr>
              <w:t>spravišča</w:t>
            </w:r>
            <w:proofErr w:type="spellEnd"/>
            <w:r w:rsidR="004A3318" w:rsidRPr="00390238">
              <w:rPr>
                <w:lang w:val="hr-HR"/>
              </w:rPr>
              <w:t xml:space="preserve"> dostupno je bilo razgledavanje s Vidikovca na tornju Hrvatskog doma u terminima od 17 do 20 sati. </w:t>
            </w:r>
          </w:p>
        </w:tc>
      </w:tr>
      <w:tr w:rsidR="000D3CE6" w:rsidRPr="00390238" w14:paraId="7298549C" w14:textId="77777777" w:rsidTr="008E6CB4">
        <w:trPr>
          <w:trHeight w:val="1447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A00" w14:textId="77777777" w:rsidR="000D3CE6" w:rsidRPr="00390238" w:rsidRDefault="000D3CE6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</w:p>
        </w:tc>
      </w:tr>
      <w:tr w:rsidR="00D331CF" w:rsidRPr="00390238" w14:paraId="4E54560A" w14:textId="77777777" w:rsidTr="008E6CB4">
        <w:trPr>
          <w:trHeight w:val="212"/>
        </w:trPr>
        <w:tc>
          <w:tcPr>
            <w:tcW w:w="9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C7A16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Realizacija programa investicijskog održavanja</w:t>
            </w:r>
          </w:p>
        </w:tc>
      </w:tr>
      <w:tr w:rsidR="00D331CF" w:rsidRPr="00390238" w14:paraId="7D7D576B" w14:textId="77777777">
        <w:trPr>
          <w:trHeight w:val="2117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A808" w14:textId="286DC557" w:rsidR="007E3310" w:rsidRPr="00390238" w:rsidRDefault="005C00A5" w:rsidP="004B2728">
            <w:pPr>
              <w:spacing w:line="360" w:lineRule="auto"/>
              <w:rPr>
                <w:b/>
                <w:bCs/>
              </w:rPr>
            </w:pPr>
            <w:r w:rsidRPr="00390238">
              <w:rPr>
                <w:b/>
                <w:bCs/>
              </w:rPr>
              <w:t xml:space="preserve">Apliciranjem na natječaje Ministarstva kulture, Učilište je </w:t>
            </w:r>
            <w:r w:rsidR="005F7E45">
              <w:rPr>
                <w:b/>
                <w:bCs/>
              </w:rPr>
              <w:t>prijavilo</w:t>
            </w:r>
            <w:r w:rsidR="002F4995">
              <w:rPr>
                <w:b/>
                <w:bCs/>
              </w:rPr>
              <w:t xml:space="preserve"> </w:t>
            </w:r>
            <w:r w:rsidR="000E0152">
              <w:rPr>
                <w:b/>
                <w:bCs/>
              </w:rPr>
              <w:t>program infrastrukture i to drugu fazu građevinsko-obrtničkih radova</w:t>
            </w:r>
            <w:r w:rsidR="00B2788E">
              <w:rPr>
                <w:b/>
                <w:bCs/>
              </w:rPr>
              <w:t xml:space="preserve"> u Podrumskoj dvorani Hrvatskog doma</w:t>
            </w:r>
            <w:r w:rsidR="004B7695">
              <w:rPr>
                <w:b/>
                <w:bCs/>
              </w:rPr>
              <w:t>,</w:t>
            </w:r>
            <w:r w:rsidR="002F4995">
              <w:rPr>
                <w:b/>
                <w:bCs/>
              </w:rPr>
              <w:t xml:space="preserve"> nakon uspješno odrađene prve faze, </w:t>
            </w:r>
            <w:r w:rsidR="004B7695">
              <w:rPr>
                <w:b/>
                <w:bCs/>
              </w:rPr>
              <w:t xml:space="preserve"> no nije dobilo sredstva tako da će nastaviti aplicirati </w:t>
            </w:r>
            <w:r w:rsidR="002F4995">
              <w:rPr>
                <w:b/>
                <w:bCs/>
              </w:rPr>
              <w:t>i ove</w:t>
            </w:r>
            <w:r w:rsidR="004B7695">
              <w:rPr>
                <w:b/>
                <w:bCs/>
              </w:rPr>
              <w:t xml:space="preserve"> godine</w:t>
            </w:r>
            <w:r w:rsidR="00273E16">
              <w:rPr>
                <w:b/>
                <w:bCs/>
              </w:rPr>
              <w:t>.</w:t>
            </w:r>
          </w:p>
          <w:p w14:paraId="26A88D30" w14:textId="77777777" w:rsidR="00390238" w:rsidRPr="00390238" w:rsidRDefault="00390238" w:rsidP="004B2728">
            <w:pPr>
              <w:spacing w:line="360" w:lineRule="auto"/>
              <w:rPr>
                <w:b/>
                <w:bCs/>
              </w:rPr>
            </w:pPr>
          </w:p>
          <w:p w14:paraId="14759261" w14:textId="77777777" w:rsidR="00D331CF" w:rsidRPr="00390238" w:rsidRDefault="00D331CF" w:rsidP="00BF425D">
            <w:pPr>
              <w:spacing w:line="360" w:lineRule="auto"/>
            </w:pPr>
          </w:p>
        </w:tc>
      </w:tr>
      <w:tr w:rsidR="00D331CF" w:rsidRPr="00390238" w14:paraId="3F456B40" w14:textId="77777777">
        <w:trPr>
          <w:trHeight w:val="200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FAF50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Realizacija programa kapitalnih projekata</w:t>
            </w:r>
          </w:p>
        </w:tc>
      </w:tr>
      <w:tr w:rsidR="00D331CF" w:rsidRPr="00390238" w14:paraId="260768C3" w14:textId="77777777">
        <w:trPr>
          <w:trHeight w:val="152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B048" w14:textId="3EB3F075" w:rsidR="00D331CF" w:rsidRPr="00390238" w:rsidRDefault="00D331CF" w:rsidP="00476A49">
            <w:pPr>
              <w:spacing w:line="360" w:lineRule="auto"/>
            </w:pPr>
          </w:p>
        </w:tc>
      </w:tr>
      <w:tr w:rsidR="00D331CF" w:rsidRPr="00390238" w14:paraId="2397582E" w14:textId="77777777">
        <w:trPr>
          <w:trHeight w:val="553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D9EF" w14:textId="77777777" w:rsidR="00D331CF" w:rsidRPr="00390238" w:rsidRDefault="00D331CF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</w:p>
        </w:tc>
      </w:tr>
    </w:tbl>
    <w:p w14:paraId="001E9297" w14:textId="77777777" w:rsidR="00D331CF" w:rsidRPr="00390238" w:rsidRDefault="00D331CF" w:rsidP="004B2728">
      <w:pPr>
        <w:pStyle w:val="Bezproreda"/>
        <w:spacing w:line="360" w:lineRule="auto"/>
        <w:rPr>
          <w:lang w:val="hr-HR"/>
        </w:rPr>
      </w:pPr>
    </w:p>
    <w:tbl>
      <w:tblPr>
        <w:tblW w:w="95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559"/>
      </w:tblGrid>
      <w:tr w:rsidR="00D331CF" w:rsidRPr="00390238" w14:paraId="08BA48F6" w14:textId="77777777">
        <w:trPr>
          <w:trHeight w:val="270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C27974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Sažeto financijsko izvješće – Bilješke uz financijsko izvješće</w:t>
            </w:r>
          </w:p>
        </w:tc>
      </w:tr>
      <w:tr w:rsidR="00D331CF" w:rsidRPr="00390238" w14:paraId="551113D3" w14:textId="77777777">
        <w:trPr>
          <w:trHeight w:val="2061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B578" w14:textId="77777777" w:rsidR="00D331CF" w:rsidRPr="00390238" w:rsidRDefault="00D331CF" w:rsidP="004B2728">
            <w:pPr>
              <w:pStyle w:val="Bezproreda"/>
              <w:widowControl w:val="0"/>
              <w:spacing w:line="360" w:lineRule="auto"/>
              <w:jc w:val="both"/>
              <w:rPr>
                <w:b/>
                <w:lang w:val="hr-HR"/>
              </w:rPr>
            </w:pPr>
          </w:p>
          <w:tbl>
            <w:tblPr>
              <w:tblW w:w="9339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3388"/>
              <w:gridCol w:w="2137"/>
              <w:gridCol w:w="2138"/>
              <w:gridCol w:w="1676"/>
            </w:tblGrid>
            <w:tr w:rsidR="00EC7939" w:rsidRPr="00390238" w14:paraId="79DF10DF" w14:textId="77777777" w:rsidTr="00A54352">
              <w:trPr>
                <w:trHeight w:val="717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58F5F7" w14:textId="570CA928" w:rsidR="00EC7939" w:rsidRPr="00671879" w:rsidRDefault="00EC7939" w:rsidP="00EC7939">
                  <w:pPr>
                    <w:widowControl w:val="0"/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671879">
                    <w:rPr>
                      <w:b/>
                      <w:bCs/>
                    </w:rPr>
                    <w:t>PRIHODI: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0B3DD" w14:textId="26CCB1A7" w:rsidR="00EC7939" w:rsidRPr="00671879" w:rsidRDefault="00EC7939" w:rsidP="0096218B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1879">
                    <w:rPr>
                      <w:b/>
                      <w:bCs/>
                    </w:rPr>
                    <w:t>PLAN 202</w:t>
                  </w:r>
                  <w:r w:rsidR="00696B0D">
                    <w:rPr>
                      <w:b/>
                      <w:bCs/>
                    </w:rPr>
                    <w:t>4</w:t>
                  </w:r>
                  <w:r w:rsidRPr="00671879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408782" w14:textId="0A9A492E" w:rsidR="00A54352" w:rsidRPr="00671879" w:rsidRDefault="00EC7939" w:rsidP="0096218B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1879">
                    <w:rPr>
                      <w:b/>
                      <w:bCs/>
                    </w:rPr>
                    <w:t>OSTVARENO</w:t>
                  </w:r>
                </w:p>
                <w:p w14:paraId="4E60E26D" w14:textId="654F4F2A" w:rsidR="00EC7939" w:rsidRPr="00671879" w:rsidRDefault="00EC7939" w:rsidP="0096218B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DB51D3" w14:textId="30E75587" w:rsidR="00EC7939" w:rsidRPr="00671879" w:rsidRDefault="00EC7939" w:rsidP="0096218B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671879">
                    <w:rPr>
                      <w:b/>
                      <w:bCs/>
                    </w:rPr>
                    <w:t>Indeks</w:t>
                  </w:r>
                </w:p>
              </w:tc>
            </w:tr>
            <w:tr w:rsidR="00EC7939" w:rsidRPr="00390238" w14:paraId="1900AE51" w14:textId="77777777" w:rsidTr="00EC7939">
              <w:trPr>
                <w:trHeight w:val="257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9739B6" w14:textId="35C8F163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>SREDSTVA GRADA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E0151" w14:textId="2E0DD743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151.794,62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D54031" w14:textId="490D9B73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67.359,46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0C6160" w14:textId="41169355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44,38</w:t>
                  </w:r>
                </w:p>
              </w:tc>
            </w:tr>
            <w:tr w:rsidR="00EC7939" w:rsidRPr="00390238" w14:paraId="1C9D571E" w14:textId="77777777" w:rsidTr="00EC7939">
              <w:trPr>
                <w:trHeight w:val="242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2C1871" w14:textId="33E36003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>VLASTITA SREDSTVA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B277AD" w14:textId="6DF95DF6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36.200,00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5EC69" w14:textId="378A72B2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27.794,43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B3357" w14:textId="733655D0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76,78</w:t>
                  </w:r>
                </w:p>
              </w:tc>
            </w:tr>
            <w:tr w:rsidR="00EC7939" w:rsidRPr="00390238" w14:paraId="49AFCAAF" w14:textId="77777777" w:rsidTr="00EC7939">
              <w:trPr>
                <w:trHeight w:val="257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3CA73" w14:textId="43B755F7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>OSTALI PRIHODI UKUPNO: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A9298" w14:textId="423F411F" w:rsidR="00EC7939" w:rsidRPr="00390238" w:rsidRDefault="00696B0D" w:rsidP="0096218B">
                  <w:pPr>
                    <w:widowControl w:val="0"/>
                    <w:spacing w:line="360" w:lineRule="auto"/>
                    <w:jc w:val="center"/>
                  </w:pPr>
                  <w:r>
                    <w:t>47.900,00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768B84" w14:textId="3F343A83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588,65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30691" w14:textId="681AFA4D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5,35</w:t>
                  </w:r>
                </w:p>
              </w:tc>
            </w:tr>
            <w:tr w:rsidR="00EC7939" w:rsidRPr="00390238" w14:paraId="11BB49CC" w14:textId="77777777" w:rsidTr="00EC7939">
              <w:trPr>
                <w:trHeight w:val="242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FF6586" w14:textId="05E13E30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>Županija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E6D099" w14:textId="786F14E3" w:rsidR="00EC7939" w:rsidRPr="00390238" w:rsidRDefault="00635D9C" w:rsidP="0096218B">
                  <w:pPr>
                    <w:widowControl w:val="0"/>
                    <w:spacing w:line="360" w:lineRule="auto"/>
                    <w:jc w:val="center"/>
                  </w:pPr>
                  <w:r>
                    <w:t>---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DD4E6F" w14:textId="5CCEBBAA" w:rsidR="00EC7939" w:rsidRPr="00390238" w:rsidRDefault="00635D9C" w:rsidP="0096218B">
                  <w:pPr>
                    <w:widowControl w:val="0"/>
                    <w:spacing w:line="360" w:lineRule="auto"/>
                    <w:jc w:val="center"/>
                  </w:pPr>
                  <w:r>
                    <w:t>---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6AB6D" w14:textId="472503C5" w:rsidR="00EC7939" w:rsidRPr="00390238" w:rsidRDefault="00635D9C" w:rsidP="0096218B">
                  <w:pPr>
                    <w:widowControl w:val="0"/>
                    <w:spacing w:line="360" w:lineRule="auto"/>
                    <w:jc w:val="center"/>
                  </w:pPr>
                  <w:r>
                    <w:t>---</w:t>
                  </w:r>
                </w:p>
              </w:tc>
            </w:tr>
            <w:tr w:rsidR="00EC7939" w:rsidRPr="00390238" w14:paraId="02DA55F4" w14:textId="77777777" w:rsidTr="00EC7939">
              <w:trPr>
                <w:trHeight w:val="257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AC3D7" w14:textId="7578C5D1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>Ministarstvo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07F9CF" w14:textId="4EBA0A9F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----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07207E" w14:textId="2EDFAF5A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----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62E48" w14:textId="611AF3FA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----</w:t>
                  </w:r>
                </w:p>
              </w:tc>
            </w:tr>
            <w:tr w:rsidR="00EC7939" w:rsidRPr="00390238" w14:paraId="3100F85A" w14:textId="77777777" w:rsidTr="00EC7939">
              <w:trPr>
                <w:trHeight w:val="242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0244C" w14:textId="278EBB1C" w:rsidR="00EC7939" w:rsidRPr="00390238" w:rsidRDefault="00EC7939" w:rsidP="00EC7939">
                  <w:pPr>
                    <w:widowControl w:val="0"/>
                    <w:numPr>
                      <w:ilvl w:val="0"/>
                      <w:numId w:val="4"/>
                    </w:numPr>
                    <w:spacing w:after="0" w:line="360" w:lineRule="auto"/>
                    <w:jc w:val="both"/>
                    <w:rPr>
                      <w:b/>
                    </w:rPr>
                  </w:pPr>
                  <w:r w:rsidRPr="00FD28C9">
                    <w:t>Ostalo (donacije)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1D22FF" w14:textId="704C57AA" w:rsidR="00EC7939" w:rsidRPr="00DD7E54" w:rsidRDefault="002F4751" w:rsidP="0096218B">
                  <w:pPr>
                    <w:widowControl w:val="0"/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47.900,00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D4619F" w14:textId="3A11302D" w:rsidR="00EC7939" w:rsidRPr="00DD7E54" w:rsidRDefault="002F4751" w:rsidP="0096218B">
                  <w:pPr>
                    <w:widowControl w:val="0"/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588,65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B20F48" w14:textId="72311441" w:rsidR="00EC7939" w:rsidRPr="00DD7E54" w:rsidRDefault="002F4751" w:rsidP="0096218B">
                  <w:pPr>
                    <w:widowControl w:val="0"/>
                    <w:spacing w:line="36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5,35</w:t>
                  </w:r>
                </w:p>
              </w:tc>
            </w:tr>
            <w:tr w:rsidR="00EC7939" w:rsidRPr="00390238" w14:paraId="3D329E58" w14:textId="77777777" w:rsidTr="00EC7939">
              <w:trPr>
                <w:trHeight w:val="257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445B35" w14:textId="6C0EFD09" w:rsidR="00EC7939" w:rsidRPr="00671879" w:rsidRDefault="00EC7939" w:rsidP="00EC7939">
                  <w:pPr>
                    <w:widowControl w:val="0"/>
                    <w:spacing w:line="360" w:lineRule="auto"/>
                    <w:jc w:val="both"/>
                    <w:rPr>
                      <w:b/>
                      <w:bCs/>
                    </w:rPr>
                  </w:pPr>
                  <w:r w:rsidRPr="00671879">
                    <w:rPr>
                      <w:b/>
                      <w:bCs/>
                    </w:rPr>
                    <w:t>PRIHODI UKUPNO: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6BB0D0" w14:textId="6421498C" w:rsidR="00EC7939" w:rsidRPr="00671879" w:rsidRDefault="002F4751" w:rsidP="0096218B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235.894,62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AC3A6" w14:textId="735809B1" w:rsidR="00EC7939" w:rsidRPr="00671879" w:rsidRDefault="002F4751" w:rsidP="0096218B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95.742,54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E097F6" w14:textId="0A6ABCC2" w:rsidR="00EC7939" w:rsidRPr="00671879" w:rsidRDefault="002F4751" w:rsidP="0096218B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40,59</w:t>
                  </w:r>
                </w:p>
              </w:tc>
            </w:tr>
            <w:tr w:rsidR="00EC7939" w:rsidRPr="00390238" w14:paraId="4E4892EA" w14:textId="77777777" w:rsidTr="00EC7939">
              <w:trPr>
                <w:trHeight w:val="242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F177F9" w14:textId="77777777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47BC7" w14:textId="77777777" w:rsidR="00EC7939" w:rsidRPr="00390238" w:rsidRDefault="00EC7939" w:rsidP="0096218B">
                  <w:pPr>
                    <w:widowControl w:val="0"/>
                    <w:spacing w:line="360" w:lineRule="auto"/>
                    <w:jc w:val="center"/>
                  </w:pP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D3F7C" w14:textId="77777777" w:rsidR="00EC7939" w:rsidRPr="00390238" w:rsidRDefault="00EC7939" w:rsidP="0096218B">
                  <w:pPr>
                    <w:widowControl w:val="0"/>
                    <w:spacing w:line="360" w:lineRule="auto"/>
                    <w:jc w:val="center"/>
                  </w:pP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5948BE" w14:textId="77777777" w:rsidR="00EC7939" w:rsidRPr="00390238" w:rsidRDefault="00EC7939" w:rsidP="0096218B">
                  <w:pPr>
                    <w:widowControl w:val="0"/>
                    <w:spacing w:line="360" w:lineRule="auto"/>
                    <w:jc w:val="center"/>
                  </w:pPr>
                </w:p>
              </w:tc>
            </w:tr>
            <w:tr w:rsidR="00EC7939" w:rsidRPr="00390238" w14:paraId="781FE491" w14:textId="77777777" w:rsidTr="00EC7939">
              <w:trPr>
                <w:trHeight w:val="257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8F871" w14:textId="06DC89BD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>RASHODI: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9FF44D" w14:textId="77777777" w:rsidR="00EC7939" w:rsidRPr="00390238" w:rsidRDefault="00EC7939" w:rsidP="0096218B">
                  <w:pPr>
                    <w:widowControl w:val="0"/>
                    <w:spacing w:line="360" w:lineRule="auto"/>
                    <w:jc w:val="center"/>
                  </w:pP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6BDB01" w14:textId="77777777" w:rsidR="00EC7939" w:rsidRPr="00390238" w:rsidRDefault="00EC7939" w:rsidP="0096218B">
                  <w:pPr>
                    <w:widowControl w:val="0"/>
                    <w:spacing w:line="360" w:lineRule="auto"/>
                    <w:jc w:val="center"/>
                  </w:pP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D9593" w14:textId="77777777" w:rsidR="00EC7939" w:rsidRPr="00390238" w:rsidRDefault="00EC7939" w:rsidP="0096218B">
                  <w:pPr>
                    <w:widowControl w:val="0"/>
                    <w:spacing w:line="360" w:lineRule="auto"/>
                    <w:jc w:val="center"/>
                  </w:pPr>
                </w:p>
              </w:tc>
            </w:tr>
            <w:tr w:rsidR="00EC7939" w:rsidRPr="00390238" w14:paraId="4F771BC0" w14:textId="77777777" w:rsidTr="00EC7939">
              <w:trPr>
                <w:trHeight w:val="242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908968" w14:textId="559CD134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>ZA ZAPOSLENE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44901" w14:textId="1FA4CDD2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96.365,00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A16655" w14:textId="1C84091C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48.146,22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DFA2D8" w14:textId="6784301C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49,96</w:t>
                  </w:r>
                </w:p>
              </w:tc>
            </w:tr>
            <w:tr w:rsidR="00EC7939" w:rsidRPr="00390238" w14:paraId="0310DA5B" w14:textId="77777777" w:rsidTr="00EC7939">
              <w:trPr>
                <w:trHeight w:val="257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706214" w14:textId="71DB1FF9" w:rsidR="00EC7939" w:rsidRPr="0086314C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86314C">
                    <w:t>MATERIJALNI RASHODI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6F5E21" w14:textId="2326B199" w:rsidR="00EC7939" w:rsidRPr="0086314C" w:rsidRDefault="0086314C" w:rsidP="0096218B">
                  <w:pPr>
                    <w:widowControl w:val="0"/>
                    <w:spacing w:line="360" w:lineRule="auto"/>
                    <w:jc w:val="center"/>
                  </w:pPr>
                  <w:r w:rsidRPr="0086314C">
                    <w:t>116.728,11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AC8B1" w14:textId="34E2DCCD" w:rsidR="00EC7939" w:rsidRPr="0086314C" w:rsidRDefault="0086314C" w:rsidP="0096218B">
                  <w:pPr>
                    <w:widowControl w:val="0"/>
                    <w:spacing w:line="360" w:lineRule="auto"/>
                    <w:jc w:val="center"/>
                  </w:pPr>
                  <w:r w:rsidRPr="0086314C">
                    <w:t>37.316,72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720AB1" w14:textId="2FC25D6D" w:rsidR="00EC7939" w:rsidRPr="0086314C" w:rsidRDefault="0086314C" w:rsidP="0096218B">
                  <w:pPr>
                    <w:widowControl w:val="0"/>
                    <w:spacing w:line="360" w:lineRule="auto"/>
                    <w:jc w:val="center"/>
                  </w:pPr>
                  <w:r w:rsidRPr="0086314C">
                    <w:t>31,97</w:t>
                  </w:r>
                </w:p>
              </w:tc>
            </w:tr>
            <w:tr w:rsidR="00EC7939" w:rsidRPr="00390238" w14:paraId="5C799572" w14:textId="77777777" w:rsidTr="00EC7939">
              <w:trPr>
                <w:trHeight w:val="242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5956C" w14:textId="1698D3E6" w:rsidR="00EC7939" w:rsidRPr="00B6282E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B6282E">
                    <w:t>PROGRAMI UKUPNO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922B33" w14:textId="5A37C50A" w:rsidR="00EC7939" w:rsidRPr="00B6282E" w:rsidRDefault="00B6282E" w:rsidP="0096218B">
                  <w:pPr>
                    <w:widowControl w:val="0"/>
                    <w:spacing w:line="360" w:lineRule="auto"/>
                    <w:jc w:val="center"/>
                  </w:pPr>
                  <w:r w:rsidRPr="00B6282E">
                    <w:t>11.000,00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9021A3" w14:textId="425747F3" w:rsidR="00EC7939" w:rsidRPr="00B6282E" w:rsidRDefault="00B6282E" w:rsidP="0096218B">
                  <w:pPr>
                    <w:widowControl w:val="0"/>
                    <w:spacing w:line="360" w:lineRule="auto"/>
                    <w:jc w:val="center"/>
                  </w:pPr>
                  <w:r w:rsidRPr="00B6282E">
                    <w:t>588,65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674972" w14:textId="7E687624" w:rsidR="00EC7939" w:rsidRPr="00B6282E" w:rsidRDefault="00B6282E" w:rsidP="0096218B">
                  <w:pPr>
                    <w:widowControl w:val="0"/>
                    <w:spacing w:line="360" w:lineRule="auto"/>
                    <w:jc w:val="center"/>
                  </w:pPr>
                  <w:r w:rsidRPr="00B6282E">
                    <w:t>5,35</w:t>
                  </w:r>
                </w:p>
              </w:tc>
            </w:tr>
            <w:tr w:rsidR="00EC7939" w:rsidRPr="00390238" w14:paraId="0694A76C" w14:textId="77777777" w:rsidTr="00EC7939">
              <w:trPr>
                <w:trHeight w:val="257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71A25" w14:textId="781AB56C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 xml:space="preserve">INVESTICIJSKO  ODRŽAV. 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2CE36" w14:textId="194DDDEC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9.750,00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DE679" w14:textId="6C7FC3DF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572,54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FAFB6" w14:textId="2A5074C7" w:rsidR="00EC7939" w:rsidRPr="00390238" w:rsidRDefault="002F4751" w:rsidP="0096218B">
                  <w:pPr>
                    <w:widowControl w:val="0"/>
                    <w:spacing w:line="360" w:lineRule="auto"/>
                    <w:jc w:val="center"/>
                  </w:pPr>
                  <w:r>
                    <w:t>5,87</w:t>
                  </w:r>
                </w:p>
              </w:tc>
            </w:tr>
            <w:tr w:rsidR="00EC7939" w:rsidRPr="00390238" w14:paraId="72734E3A" w14:textId="77777777" w:rsidTr="00EC7939">
              <w:trPr>
                <w:trHeight w:val="257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E78698" w14:textId="12BA0E7E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>KAPITALNA ULAGANJA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233D13" w14:textId="27CAEC5A" w:rsidR="00EC7939" w:rsidRPr="00390238" w:rsidRDefault="00B6282E" w:rsidP="0096218B">
                  <w:pPr>
                    <w:widowControl w:val="0"/>
                    <w:spacing w:line="360" w:lineRule="auto"/>
                    <w:jc w:val="center"/>
                  </w:pPr>
                  <w:r>
                    <w:t>500,00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AE329" w14:textId="0D617E64" w:rsidR="00EC7939" w:rsidRPr="00390238" w:rsidRDefault="00B6282E" w:rsidP="0096218B">
                  <w:pPr>
                    <w:widowControl w:val="0"/>
                    <w:spacing w:line="360" w:lineRule="auto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196CE5" w14:textId="23415193" w:rsidR="00EC7939" w:rsidRPr="00390238" w:rsidRDefault="00B6282E" w:rsidP="0096218B">
                  <w:pPr>
                    <w:widowControl w:val="0"/>
                    <w:spacing w:line="360" w:lineRule="auto"/>
                    <w:jc w:val="center"/>
                  </w:pPr>
                  <w:r>
                    <w:t>0,00</w:t>
                  </w:r>
                </w:p>
              </w:tc>
            </w:tr>
            <w:tr w:rsidR="00EC7939" w:rsidRPr="00390238" w14:paraId="08600596" w14:textId="77777777" w:rsidTr="00EC7939">
              <w:trPr>
                <w:trHeight w:val="242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8CFA62" w14:textId="780E1B34" w:rsidR="00EC7939" w:rsidRPr="00390238" w:rsidRDefault="00EC7939" w:rsidP="00EC7939">
                  <w:pPr>
                    <w:widowControl w:val="0"/>
                    <w:spacing w:line="360" w:lineRule="auto"/>
                    <w:jc w:val="both"/>
                  </w:pPr>
                  <w:r w:rsidRPr="00FD28C9">
                    <w:t>OSTALO: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6E706B" w14:textId="755C0F18" w:rsidR="00EC7939" w:rsidRPr="00390238" w:rsidRDefault="00B6282E" w:rsidP="0096218B">
                  <w:pPr>
                    <w:widowControl w:val="0"/>
                    <w:spacing w:line="360" w:lineRule="auto"/>
                    <w:jc w:val="center"/>
                  </w:pPr>
                  <w:r>
                    <w:t>950,00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BAB83" w14:textId="6774B9DC" w:rsidR="00EC7939" w:rsidRPr="00390238" w:rsidRDefault="00B6282E" w:rsidP="0096218B">
                  <w:pPr>
                    <w:widowControl w:val="0"/>
                    <w:spacing w:line="360" w:lineRule="auto"/>
                    <w:jc w:val="center"/>
                  </w:pPr>
                  <w:r>
                    <w:t>264,53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4F96FD" w14:textId="0BF813C2" w:rsidR="00EC7939" w:rsidRPr="00390238" w:rsidRDefault="00B6282E" w:rsidP="0096218B">
                  <w:pPr>
                    <w:widowControl w:val="0"/>
                    <w:spacing w:line="360" w:lineRule="auto"/>
                    <w:jc w:val="center"/>
                  </w:pPr>
                  <w:r>
                    <w:t>27,85</w:t>
                  </w:r>
                </w:p>
              </w:tc>
            </w:tr>
            <w:tr w:rsidR="00671879" w:rsidRPr="00390238" w14:paraId="022A425A" w14:textId="77777777" w:rsidTr="00EC7939">
              <w:trPr>
                <w:trHeight w:val="242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A95CB1" w14:textId="2363F4CC" w:rsidR="00671879" w:rsidRPr="00FD28C9" w:rsidRDefault="00671879" w:rsidP="00671879">
                  <w:pPr>
                    <w:widowControl w:val="0"/>
                    <w:spacing w:line="360" w:lineRule="auto"/>
                    <w:jc w:val="both"/>
                  </w:pPr>
                  <w:r w:rsidRPr="009E3CBB">
                    <w:rPr>
                      <w:b/>
                    </w:rPr>
                    <w:t>RASHODI UKUPNO: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55B24B" w14:textId="3B43B0A8" w:rsidR="00671879" w:rsidRPr="00A94ACF" w:rsidRDefault="0086314C" w:rsidP="00671879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235.293,11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A59F5D" w14:textId="6B2F3DF6" w:rsidR="00671879" w:rsidRPr="009413CD" w:rsidRDefault="0086314C" w:rsidP="00671879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86.888,66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DFB4DC" w14:textId="04FAEB1E" w:rsidR="00671879" w:rsidRPr="009413CD" w:rsidRDefault="0086314C" w:rsidP="00671879">
                  <w:pPr>
                    <w:widowControl w:val="0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36,93</w:t>
                  </w:r>
                </w:p>
              </w:tc>
            </w:tr>
            <w:tr w:rsidR="00671879" w:rsidRPr="00390238" w14:paraId="4A6F1674" w14:textId="77777777" w:rsidTr="00EC7939">
              <w:trPr>
                <w:trHeight w:val="242"/>
              </w:trPr>
              <w:tc>
                <w:tcPr>
                  <w:tcW w:w="3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04B332" w14:textId="14F539EE" w:rsidR="00671879" w:rsidRPr="00FD28C9" w:rsidRDefault="00671879" w:rsidP="00671879">
                  <w:pPr>
                    <w:widowControl w:val="0"/>
                    <w:spacing w:line="360" w:lineRule="auto"/>
                    <w:jc w:val="both"/>
                  </w:pPr>
                  <w:r w:rsidRPr="009E3CBB">
                    <w:t>VIŠAK/MANJAK PRIHODA:</w:t>
                  </w:r>
                </w:p>
              </w:tc>
              <w:tc>
                <w:tcPr>
                  <w:tcW w:w="2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B4A40" w14:textId="3E4C23A4" w:rsidR="00671879" w:rsidRPr="00FD28C9" w:rsidRDefault="0086314C" w:rsidP="00671879">
                  <w:pPr>
                    <w:widowControl w:val="0"/>
                    <w:spacing w:line="360" w:lineRule="auto"/>
                    <w:jc w:val="center"/>
                  </w:pPr>
                  <w:r>
                    <w:t>601,51</w:t>
                  </w:r>
                </w:p>
              </w:tc>
              <w:tc>
                <w:tcPr>
                  <w:tcW w:w="2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C3EDC" w14:textId="7E7A4E13" w:rsidR="00671879" w:rsidRPr="00FD28C9" w:rsidRDefault="0086314C" w:rsidP="00671879">
                  <w:pPr>
                    <w:widowControl w:val="0"/>
                    <w:spacing w:line="360" w:lineRule="auto"/>
                    <w:jc w:val="center"/>
                  </w:pPr>
                  <w:r>
                    <w:t>8.853,88</w:t>
                  </w:r>
                </w:p>
              </w:tc>
              <w:tc>
                <w:tcPr>
                  <w:tcW w:w="1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444DF3" w14:textId="351222F8" w:rsidR="00671879" w:rsidRPr="00FD28C9" w:rsidRDefault="00671879" w:rsidP="00671879">
                  <w:pPr>
                    <w:widowControl w:val="0"/>
                    <w:spacing w:line="360" w:lineRule="auto"/>
                    <w:jc w:val="center"/>
                  </w:pPr>
                </w:p>
              </w:tc>
            </w:tr>
          </w:tbl>
          <w:p w14:paraId="1A0536B9" w14:textId="79193DF2" w:rsidR="00D331CF" w:rsidRPr="00BC49B4" w:rsidRDefault="006032AD" w:rsidP="009E4892">
            <w:pPr>
              <w:widowControl w:val="0"/>
              <w:spacing w:line="360" w:lineRule="auto"/>
              <w:jc w:val="both"/>
            </w:pPr>
            <w:r>
              <w:t xml:space="preserve"> </w:t>
            </w:r>
            <w:r w:rsidR="0086314C">
              <w:t>Višak prihoda ostvaren je zbog većeg ostvarenja prihoda od vlastite djelatnosti. Višak prihoda biti će utrošen za troškove redovnog obavljanja djelatnosti</w:t>
            </w:r>
            <w:r w:rsidR="009E4892">
              <w:t>.</w:t>
            </w:r>
          </w:p>
        </w:tc>
      </w:tr>
      <w:tr w:rsidR="00D331CF" w:rsidRPr="00390238" w14:paraId="263899F0" w14:textId="77777777">
        <w:trPr>
          <w:trHeight w:val="99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25D79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lastRenderedPageBreak/>
              <w:t>Osvrt ravnatelja/</w:t>
            </w:r>
            <w:proofErr w:type="spellStart"/>
            <w:r w:rsidRPr="00390238">
              <w:rPr>
                <w:lang w:val="hr-HR"/>
              </w:rPr>
              <w:t>ice</w:t>
            </w:r>
            <w:proofErr w:type="spellEnd"/>
            <w:r w:rsidRPr="00390238">
              <w:rPr>
                <w:lang w:val="hr-HR"/>
              </w:rPr>
              <w:t xml:space="preserve"> na kvalitetu izvršenja programa za izvještajno razdoblje</w:t>
            </w:r>
          </w:p>
        </w:tc>
      </w:tr>
      <w:tr w:rsidR="00D331CF" w:rsidRPr="00390238" w14:paraId="54A93F9A" w14:textId="77777777">
        <w:trPr>
          <w:trHeight w:val="2128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1397" w14:textId="483E6E5F" w:rsidR="00D331CF" w:rsidRPr="00390238" w:rsidRDefault="00A14703" w:rsidP="004B2728">
            <w:pPr>
              <w:pStyle w:val="Tijeloteksta"/>
              <w:widowControl w:val="0"/>
              <w:spacing w:line="360" w:lineRule="auto"/>
              <w:jc w:val="both"/>
            </w:pPr>
            <w:r w:rsidRPr="00390238">
              <w:t>Uz vrlo bogate kulturne sadržaje, kojih je sve više</w:t>
            </w:r>
            <w:r w:rsidR="00CD06AC" w:rsidRPr="00390238">
              <w:t>, Učilište je vrlo uspješno na područ</w:t>
            </w:r>
            <w:r w:rsidR="005621EF" w:rsidRPr="00390238">
              <w:t>j</w:t>
            </w:r>
            <w:r w:rsidR="00CD06AC" w:rsidRPr="00390238">
              <w:t>u obrazovanj</w:t>
            </w:r>
            <w:r w:rsidR="005621EF" w:rsidRPr="00390238">
              <w:t>a</w:t>
            </w:r>
            <w:r w:rsidR="00CD06AC" w:rsidRPr="00390238">
              <w:t xml:space="preserve">. Trenutno se istovremeno </w:t>
            </w:r>
            <w:r w:rsidR="005621EF" w:rsidRPr="00390238">
              <w:t>prov</w:t>
            </w:r>
            <w:r w:rsidR="00750C0E" w:rsidRPr="00390238">
              <w:t xml:space="preserve">ode: program </w:t>
            </w:r>
            <w:r w:rsidR="00890EEF" w:rsidRPr="00390238">
              <w:t xml:space="preserve">obrazovanja za stjecanje djelomične kvalifikacije </w:t>
            </w:r>
            <w:r w:rsidR="00390238">
              <w:t>k</w:t>
            </w:r>
            <w:r w:rsidR="00B41970" w:rsidRPr="00390238">
              <w:t>njigovođa/knjigovotkinja</w:t>
            </w:r>
            <w:r w:rsidR="00750C0E" w:rsidRPr="00390238">
              <w:t xml:space="preserve">, program </w:t>
            </w:r>
            <w:r w:rsidR="00DB6CA7">
              <w:t xml:space="preserve">obrazovanja za stjecanje mikrokvalifikacije </w:t>
            </w:r>
            <w:r w:rsidR="00AF6ADE">
              <w:t>Uporaba i</w:t>
            </w:r>
            <w:r w:rsidR="003A2C36">
              <w:t>nformacijsk</w:t>
            </w:r>
            <w:r w:rsidR="00AF6ADE">
              <w:t>ih</w:t>
            </w:r>
            <w:r w:rsidR="003A2C36">
              <w:t xml:space="preserve"> tehnologij</w:t>
            </w:r>
            <w:r w:rsidR="00AF6ADE">
              <w:t>a</w:t>
            </w:r>
            <w:r w:rsidR="003A2C36">
              <w:t xml:space="preserve"> u uredskom poslovanju</w:t>
            </w:r>
            <w:r w:rsidR="008F457C">
              <w:t>, djelomične kvalifikacije njegovatelj/</w:t>
            </w:r>
            <w:proofErr w:type="spellStart"/>
            <w:r w:rsidR="008F457C">
              <w:t>ica</w:t>
            </w:r>
            <w:proofErr w:type="spellEnd"/>
            <w:r w:rsidR="008F457C">
              <w:t xml:space="preserve"> u institucionalnoj i izvan</w:t>
            </w:r>
            <w:r w:rsidR="00E81686">
              <w:t xml:space="preserve">institucionalnoj skrbi o starijim i nemoćnim osobama. Svi </w:t>
            </w:r>
            <w:r w:rsidR="00CA0506">
              <w:t>spomenuti</w:t>
            </w:r>
            <w:r w:rsidR="00E81686">
              <w:t xml:space="preserve"> programi</w:t>
            </w:r>
            <w:r w:rsidR="00CA0506">
              <w:t xml:space="preserve"> izrađeni su i provode se po novoj metodologiji uz potporu financiranja putem vaučera.</w:t>
            </w:r>
            <w:r w:rsidR="00AF6ADE">
              <w:t xml:space="preserve"> </w:t>
            </w:r>
          </w:p>
        </w:tc>
      </w:tr>
      <w:tr w:rsidR="00D331CF" w:rsidRPr="00390238" w14:paraId="3A9A7761" w14:textId="77777777">
        <w:trPr>
          <w:trHeight w:val="255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F9D62D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>Napomena – daljnje smjernice</w:t>
            </w:r>
          </w:p>
        </w:tc>
      </w:tr>
      <w:tr w:rsidR="00D331CF" w:rsidRPr="00390238" w14:paraId="5C52A5DD" w14:textId="77777777">
        <w:trPr>
          <w:trHeight w:val="1977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A7F8" w14:textId="6B14E786" w:rsidR="00D331CF" w:rsidRPr="00390238" w:rsidRDefault="00CC03B9" w:rsidP="004B2728">
            <w:pPr>
              <w:pStyle w:val="Bezproreda"/>
              <w:widowControl w:val="0"/>
              <w:spacing w:line="360" w:lineRule="auto"/>
              <w:jc w:val="both"/>
              <w:rPr>
                <w:b/>
                <w:bCs/>
                <w:color w:val="C9211E"/>
                <w:lang w:val="hr-HR"/>
              </w:rPr>
            </w:pPr>
            <w:r w:rsidRPr="00390238">
              <w:rPr>
                <w:b/>
                <w:bCs/>
                <w:lang w:val="hr-HR"/>
              </w:rPr>
              <w:t>Zbog spomenut</w:t>
            </w:r>
            <w:r w:rsidR="00562A18" w:rsidRPr="00390238">
              <w:rPr>
                <w:b/>
                <w:bCs/>
                <w:lang w:val="hr-HR"/>
              </w:rPr>
              <w:t>ih programa obrazovanja, javlja se potreba za više prostora</w:t>
            </w:r>
            <w:r w:rsidR="00D6280A" w:rsidRPr="00390238">
              <w:rPr>
                <w:b/>
                <w:bCs/>
                <w:lang w:val="hr-HR"/>
              </w:rPr>
              <w:t xml:space="preserve"> u kojem će se isti provoditi. Naime, Učilište ima samo jednu učionicu u sjedištu</w:t>
            </w:r>
            <w:r w:rsidR="00937474" w:rsidRPr="00390238">
              <w:rPr>
                <w:b/>
                <w:bCs/>
                <w:lang w:val="hr-HR"/>
              </w:rPr>
              <w:t xml:space="preserve"> za koju posjeduje minimalno-tehničke uvjete, što sad svakako nije dovoljno. </w:t>
            </w:r>
            <w:r w:rsidR="003573BB">
              <w:rPr>
                <w:b/>
                <w:bCs/>
                <w:lang w:val="hr-HR"/>
              </w:rPr>
              <w:t xml:space="preserve">Dio obrazovanja provodi </w:t>
            </w:r>
            <w:r w:rsidR="00A537BB">
              <w:rPr>
                <w:b/>
                <w:bCs/>
                <w:lang w:val="hr-HR"/>
              </w:rPr>
              <w:t xml:space="preserve">se </w:t>
            </w:r>
            <w:r w:rsidR="003573BB">
              <w:rPr>
                <w:b/>
                <w:bCs/>
                <w:lang w:val="hr-HR"/>
              </w:rPr>
              <w:t>i u Podrumskoj dvorani Hrvatskog doma</w:t>
            </w:r>
            <w:r w:rsidR="00A537BB">
              <w:rPr>
                <w:b/>
                <w:bCs/>
                <w:lang w:val="hr-HR"/>
              </w:rPr>
              <w:t xml:space="preserve">. </w:t>
            </w:r>
            <w:r w:rsidR="00D60A7A" w:rsidRPr="00390238">
              <w:rPr>
                <w:b/>
                <w:bCs/>
                <w:lang w:val="hr-HR"/>
              </w:rPr>
              <w:t xml:space="preserve">Apliciranjem na Ministarstvo kulture, </w:t>
            </w:r>
            <w:r w:rsidR="004E11D0" w:rsidRPr="00390238">
              <w:rPr>
                <w:b/>
                <w:bCs/>
                <w:lang w:val="hr-HR"/>
              </w:rPr>
              <w:t>nastojat</w:t>
            </w:r>
            <w:r w:rsidR="00D60A7A" w:rsidRPr="00390238">
              <w:rPr>
                <w:b/>
                <w:bCs/>
                <w:lang w:val="hr-HR"/>
              </w:rPr>
              <w:t xml:space="preserve"> će se osposobiti još neki prostor u gradu, te ishod</w:t>
            </w:r>
            <w:r w:rsidR="004E11D0" w:rsidRPr="00390238">
              <w:rPr>
                <w:b/>
                <w:bCs/>
                <w:lang w:val="hr-HR"/>
              </w:rPr>
              <w:t xml:space="preserve">iti </w:t>
            </w:r>
            <w:r w:rsidR="00D60A7A" w:rsidRPr="00390238">
              <w:rPr>
                <w:b/>
                <w:bCs/>
                <w:lang w:val="hr-HR"/>
              </w:rPr>
              <w:t>uvjeti</w:t>
            </w:r>
            <w:r w:rsidR="004E11D0" w:rsidRPr="00390238">
              <w:rPr>
                <w:b/>
                <w:bCs/>
                <w:lang w:val="hr-HR"/>
              </w:rPr>
              <w:t xml:space="preserve"> za provedbu obrazovnih programa.</w:t>
            </w:r>
          </w:p>
        </w:tc>
      </w:tr>
      <w:tr w:rsidR="00D331CF" w:rsidRPr="00390238" w14:paraId="75AAE4C9" w14:textId="77777777">
        <w:trPr>
          <w:trHeight w:val="993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75BD" w14:textId="7F7DD8CD" w:rsidR="00D331CF" w:rsidRPr="00390238" w:rsidRDefault="004A3318" w:rsidP="0086314C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 xml:space="preserve"> </w:t>
            </w:r>
            <w:r w:rsidR="0086314C">
              <w:rPr>
                <w:lang w:val="hr-HR"/>
              </w:rPr>
              <w:t xml:space="preserve">                                                                                                       </w:t>
            </w:r>
            <w:r w:rsidRPr="00390238">
              <w:rPr>
                <w:lang w:val="hr-HR"/>
              </w:rPr>
              <w:t>ravnateljica Pučkog otvorenog učilišta Križevci</w:t>
            </w:r>
          </w:p>
          <w:p w14:paraId="5F917D3E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right"/>
              <w:rPr>
                <w:lang w:val="hr-HR"/>
              </w:rPr>
            </w:pPr>
            <w:r w:rsidRPr="00390238">
              <w:rPr>
                <w:lang w:val="hr-HR"/>
              </w:rPr>
              <w:t xml:space="preserve"> Željka Šunjić, prof..</w:t>
            </w:r>
          </w:p>
          <w:p w14:paraId="6B7EAC75" w14:textId="77777777" w:rsidR="00D331CF" w:rsidRPr="00390238" w:rsidRDefault="004A3318" w:rsidP="004B2728">
            <w:pPr>
              <w:pStyle w:val="Bezproreda"/>
              <w:widowControl w:val="0"/>
              <w:spacing w:line="360" w:lineRule="auto"/>
              <w:jc w:val="both"/>
              <w:rPr>
                <w:lang w:val="hr-HR"/>
              </w:rPr>
            </w:pPr>
            <w:r w:rsidRPr="00390238">
              <w:rPr>
                <w:lang w:val="hr-HR"/>
              </w:rPr>
              <w:t xml:space="preserve">  </w:t>
            </w:r>
          </w:p>
        </w:tc>
      </w:tr>
    </w:tbl>
    <w:p w14:paraId="6E72C1E1" w14:textId="6D9E250B" w:rsidR="00D331CF" w:rsidRPr="00D711B4" w:rsidRDefault="00D331CF" w:rsidP="00D711B4">
      <w:pPr>
        <w:pStyle w:val="Bezproreda"/>
        <w:spacing w:line="360" w:lineRule="auto"/>
        <w:rPr>
          <w:lang w:val="hr-HR"/>
        </w:rPr>
      </w:pPr>
    </w:p>
    <w:sectPr w:rsidR="00D331CF" w:rsidRPr="00D711B4">
      <w:pgSz w:w="11906" w:h="16838"/>
      <w:pgMar w:top="1417" w:right="1417" w:bottom="127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ED9"/>
    <w:multiLevelType w:val="multilevel"/>
    <w:tmpl w:val="DE0E6230"/>
    <w:lvl w:ilvl="0">
      <w:start w:val="20"/>
      <w:numFmt w:val="bullet"/>
      <w:lvlText w:val="﷐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64561"/>
    <w:multiLevelType w:val="hybridMultilevel"/>
    <w:tmpl w:val="50CC2D70"/>
    <w:lvl w:ilvl="0" w:tplc="F3025B20">
      <w:start w:val="26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7609D"/>
    <w:multiLevelType w:val="hybridMultilevel"/>
    <w:tmpl w:val="65F6E7B6"/>
    <w:lvl w:ilvl="0" w:tplc="97E6D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EC4"/>
    <w:multiLevelType w:val="multilevel"/>
    <w:tmpl w:val="D5F477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7EE0811"/>
    <w:multiLevelType w:val="multilevel"/>
    <w:tmpl w:val="57F852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09058656">
    <w:abstractNumId w:val="4"/>
  </w:num>
  <w:num w:numId="2" w16cid:durableId="2144036849">
    <w:abstractNumId w:val="0"/>
  </w:num>
  <w:num w:numId="3" w16cid:durableId="564952984">
    <w:abstractNumId w:val="3"/>
  </w:num>
  <w:num w:numId="4" w16cid:durableId="1045057366">
    <w:abstractNumId w:val="0"/>
    <w:lvlOverride w:ilvl="0">
      <w:startOverride w:val="1"/>
    </w:lvlOverride>
  </w:num>
  <w:num w:numId="5" w16cid:durableId="272976075">
    <w:abstractNumId w:val="2"/>
  </w:num>
  <w:num w:numId="6" w16cid:durableId="77289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CF"/>
    <w:rsid w:val="00015FC4"/>
    <w:rsid w:val="000204AD"/>
    <w:rsid w:val="000270E2"/>
    <w:rsid w:val="0004220F"/>
    <w:rsid w:val="000510CA"/>
    <w:rsid w:val="0006074B"/>
    <w:rsid w:val="00060810"/>
    <w:rsid w:val="0006091B"/>
    <w:rsid w:val="0006778C"/>
    <w:rsid w:val="00080CBA"/>
    <w:rsid w:val="00093334"/>
    <w:rsid w:val="0009762A"/>
    <w:rsid w:val="000A2D9C"/>
    <w:rsid w:val="000A31E9"/>
    <w:rsid w:val="000B04ED"/>
    <w:rsid w:val="000C25A7"/>
    <w:rsid w:val="000C4D22"/>
    <w:rsid w:val="000D2D93"/>
    <w:rsid w:val="000D3CE6"/>
    <w:rsid w:val="000D42C5"/>
    <w:rsid w:val="000D6AF7"/>
    <w:rsid w:val="000E0152"/>
    <w:rsid w:val="000E093B"/>
    <w:rsid w:val="000E6142"/>
    <w:rsid w:val="000F2369"/>
    <w:rsid w:val="000F65E5"/>
    <w:rsid w:val="00101E25"/>
    <w:rsid w:val="00105186"/>
    <w:rsid w:val="0011208C"/>
    <w:rsid w:val="00124899"/>
    <w:rsid w:val="00127BD5"/>
    <w:rsid w:val="00133705"/>
    <w:rsid w:val="00137E12"/>
    <w:rsid w:val="00141306"/>
    <w:rsid w:val="00145BCD"/>
    <w:rsid w:val="001462D4"/>
    <w:rsid w:val="00154D00"/>
    <w:rsid w:val="00165586"/>
    <w:rsid w:val="00167648"/>
    <w:rsid w:val="0017289F"/>
    <w:rsid w:val="00172C6C"/>
    <w:rsid w:val="00173E89"/>
    <w:rsid w:val="001959EB"/>
    <w:rsid w:val="00195ACC"/>
    <w:rsid w:val="00197BA3"/>
    <w:rsid w:val="001A0C03"/>
    <w:rsid w:val="001B4F0B"/>
    <w:rsid w:val="001B4FAD"/>
    <w:rsid w:val="001B7B6E"/>
    <w:rsid w:val="001B7D67"/>
    <w:rsid w:val="001C1958"/>
    <w:rsid w:val="001C6BA4"/>
    <w:rsid w:val="001E0884"/>
    <w:rsid w:val="001E4A40"/>
    <w:rsid w:val="001E7B6E"/>
    <w:rsid w:val="001F1D07"/>
    <w:rsid w:val="002012B9"/>
    <w:rsid w:val="002018C2"/>
    <w:rsid w:val="00201E58"/>
    <w:rsid w:val="002025A0"/>
    <w:rsid w:val="00204763"/>
    <w:rsid w:val="002055B2"/>
    <w:rsid w:val="00211C24"/>
    <w:rsid w:val="00213BED"/>
    <w:rsid w:val="00217F1A"/>
    <w:rsid w:val="00222657"/>
    <w:rsid w:val="00223D5D"/>
    <w:rsid w:val="00226EC1"/>
    <w:rsid w:val="00246CA0"/>
    <w:rsid w:val="00257A00"/>
    <w:rsid w:val="002667B0"/>
    <w:rsid w:val="002729B1"/>
    <w:rsid w:val="00273E16"/>
    <w:rsid w:val="00282246"/>
    <w:rsid w:val="0028745B"/>
    <w:rsid w:val="00292338"/>
    <w:rsid w:val="002932B5"/>
    <w:rsid w:val="002B0BA5"/>
    <w:rsid w:val="002B1ADE"/>
    <w:rsid w:val="002C4B04"/>
    <w:rsid w:val="002D318E"/>
    <w:rsid w:val="002D429E"/>
    <w:rsid w:val="002E385C"/>
    <w:rsid w:val="002E6DDC"/>
    <w:rsid w:val="002E7EC1"/>
    <w:rsid w:val="002F4751"/>
    <w:rsid w:val="002F4995"/>
    <w:rsid w:val="00302309"/>
    <w:rsid w:val="00302BB6"/>
    <w:rsid w:val="00305F42"/>
    <w:rsid w:val="003102A2"/>
    <w:rsid w:val="00310FFF"/>
    <w:rsid w:val="00322993"/>
    <w:rsid w:val="00322A2E"/>
    <w:rsid w:val="003233CB"/>
    <w:rsid w:val="00324936"/>
    <w:rsid w:val="00324BA8"/>
    <w:rsid w:val="003258B4"/>
    <w:rsid w:val="00327978"/>
    <w:rsid w:val="00330DB7"/>
    <w:rsid w:val="00332526"/>
    <w:rsid w:val="003365C2"/>
    <w:rsid w:val="003370ED"/>
    <w:rsid w:val="00350C05"/>
    <w:rsid w:val="003524DE"/>
    <w:rsid w:val="00356CC0"/>
    <w:rsid w:val="003573BB"/>
    <w:rsid w:val="00363EF9"/>
    <w:rsid w:val="00370029"/>
    <w:rsid w:val="00370359"/>
    <w:rsid w:val="00376481"/>
    <w:rsid w:val="00381970"/>
    <w:rsid w:val="00390238"/>
    <w:rsid w:val="003922C6"/>
    <w:rsid w:val="00394484"/>
    <w:rsid w:val="00396FB7"/>
    <w:rsid w:val="003A2C36"/>
    <w:rsid w:val="003B09C9"/>
    <w:rsid w:val="003C41D5"/>
    <w:rsid w:val="003C44C4"/>
    <w:rsid w:val="003C6A73"/>
    <w:rsid w:val="003F01BD"/>
    <w:rsid w:val="003F5FC5"/>
    <w:rsid w:val="004145E3"/>
    <w:rsid w:val="0041669E"/>
    <w:rsid w:val="00416C05"/>
    <w:rsid w:val="00422083"/>
    <w:rsid w:val="00422A7C"/>
    <w:rsid w:val="0042395A"/>
    <w:rsid w:val="00427C80"/>
    <w:rsid w:val="004312A4"/>
    <w:rsid w:val="00433EEA"/>
    <w:rsid w:val="00436CB6"/>
    <w:rsid w:val="0044132D"/>
    <w:rsid w:val="0044736C"/>
    <w:rsid w:val="00456B26"/>
    <w:rsid w:val="004573E5"/>
    <w:rsid w:val="00460766"/>
    <w:rsid w:val="00466DDE"/>
    <w:rsid w:val="00476A49"/>
    <w:rsid w:val="004814E7"/>
    <w:rsid w:val="00495E17"/>
    <w:rsid w:val="004A01CC"/>
    <w:rsid w:val="004A3318"/>
    <w:rsid w:val="004B2728"/>
    <w:rsid w:val="004B3719"/>
    <w:rsid w:val="004B469B"/>
    <w:rsid w:val="004B7695"/>
    <w:rsid w:val="004D3031"/>
    <w:rsid w:val="004D72E4"/>
    <w:rsid w:val="004E11D0"/>
    <w:rsid w:val="004E14B3"/>
    <w:rsid w:val="004E361A"/>
    <w:rsid w:val="004E461F"/>
    <w:rsid w:val="004F2868"/>
    <w:rsid w:val="0050418C"/>
    <w:rsid w:val="00513B51"/>
    <w:rsid w:val="005232C1"/>
    <w:rsid w:val="005252F9"/>
    <w:rsid w:val="00535D4A"/>
    <w:rsid w:val="00535D6D"/>
    <w:rsid w:val="00544BC6"/>
    <w:rsid w:val="00546649"/>
    <w:rsid w:val="00557229"/>
    <w:rsid w:val="005621EF"/>
    <w:rsid w:val="00562A18"/>
    <w:rsid w:val="00567B09"/>
    <w:rsid w:val="00572FE2"/>
    <w:rsid w:val="00573E5D"/>
    <w:rsid w:val="00574507"/>
    <w:rsid w:val="0057680C"/>
    <w:rsid w:val="00577149"/>
    <w:rsid w:val="00580210"/>
    <w:rsid w:val="0058042A"/>
    <w:rsid w:val="00593564"/>
    <w:rsid w:val="00594961"/>
    <w:rsid w:val="005B50CF"/>
    <w:rsid w:val="005B5CBD"/>
    <w:rsid w:val="005C00A5"/>
    <w:rsid w:val="005C083F"/>
    <w:rsid w:val="005D4DBC"/>
    <w:rsid w:val="005D6833"/>
    <w:rsid w:val="005E03A2"/>
    <w:rsid w:val="005F0467"/>
    <w:rsid w:val="005F2473"/>
    <w:rsid w:val="005F45E4"/>
    <w:rsid w:val="005F63EC"/>
    <w:rsid w:val="005F7E45"/>
    <w:rsid w:val="00601E07"/>
    <w:rsid w:val="006032AD"/>
    <w:rsid w:val="006044B2"/>
    <w:rsid w:val="00610823"/>
    <w:rsid w:val="006125C9"/>
    <w:rsid w:val="00616990"/>
    <w:rsid w:val="00616C44"/>
    <w:rsid w:val="00617AC9"/>
    <w:rsid w:val="00617C40"/>
    <w:rsid w:val="006200F1"/>
    <w:rsid w:val="006209D7"/>
    <w:rsid w:val="006248C2"/>
    <w:rsid w:val="00632A61"/>
    <w:rsid w:val="00635D9C"/>
    <w:rsid w:val="00636298"/>
    <w:rsid w:val="00636A98"/>
    <w:rsid w:val="00636B7F"/>
    <w:rsid w:val="00640665"/>
    <w:rsid w:val="00641CDF"/>
    <w:rsid w:val="00654891"/>
    <w:rsid w:val="00656542"/>
    <w:rsid w:val="006675EF"/>
    <w:rsid w:val="00671879"/>
    <w:rsid w:val="00676B64"/>
    <w:rsid w:val="006816BD"/>
    <w:rsid w:val="00681B79"/>
    <w:rsid w:val="00682180"/>
    <w:rsid w:val="00682E63"/>
    <w:rsid w:val="00683E75"/>
    <w:rsid w:val="00692900"/>
    <w:rsid w:val="00696B0D"/>
    <w:rsid w:val="006A28E2"/>
    <w:rsid w:val="006A2EE1"/>
    <w:rsid w:val="006A3AA3"/>
    <w:rsid w:val="006B6771"/>
    <w:rsid w:val="006C1F8E"/>
    <w:rsid w:val="006C267E"/>
    <w:rsid w:val="006D1493"/>
    <w:rsid w:val="007001BA"/>
    <w:rsid w:val="007071C5"/>
    <w:rsid w:val="00722A3C"/>
    <w:rsid w:val="00723781"/>
    <w:rsid w:val="0072512C"/>
    <w:rsid w:val="00731EF3"/>
    <w:rsid w:val="00734B6D"/>
    <w:rsid w:val="00742564"/>
    <w:rsid w:val="0074661C"/>
    <w:rsid w:val="00747EE2"/>
    <w:rsid w:val="00750C0E"/>
    <w:rsid w:val="00755A0B"/>
    <w:rsid w:val="00760FD8"/>
    <w:rsid w:val="00764346"/>
    <w:rsid w:val="00766FCC"/>
    <w:rsid w:val="00773866"/>
    <w:rsid w:val="00780C1D"/>
    <w:rsid w:val="00783346"/>
    <w:rsid w:val="00793C88"/>
    <w:rsid w:val="0079451D"/>
    <w:rsid w:val="00797BE2"/>
    <w:rsid w:val="007A1C67"/>
    <w:rsid w:val="007C611B"/>
    <w:rsid w:val="007D6469"/>
    <w:rsid w:val="007D7B3B"/>
    <w:rsid w:val="007E3310"/>
    <w:rsid w:val="007E46B7"/>
    <w:rsid w:val="007F0C08"/>
    <w:rsid w:val="007F1C15"/>
    <w:rsid w:val="0080013B"/>
    <w:rsid w:val="008014F5"/>
    <w:rsid w:val="00807D73"/>
    <w:rsid w:val="00811CA6"/>
    <w:rsid w:val="0081419F"/>
    <w:rsid w:val="00814404"/>
    <w:rsid w:val="008150A6"/>
    <w:rsid w:val="00820F17"/>
    <w:rsid w:val="00832D1E"/>
    <w:rsid w:val="008344D1"/>
    <w:rsid w:val="008440F0"/>
    <w:rsid w:val="0084451C"/>
    <w:rsid w:val="0084524F"/>
    <w:rsid w:val="008504D9"/>
    <w:rsid w:val="00855AFF"/>
    <w:rsid w:val="00860919"/>
    <w:rsid w:val="0086314C"/>
    <w:rsid w:val="00864909"/>
    <w:rsid w:val="00870306"/>
    <w:rsid w:val="00870E6F"/>
    <w:rsid w:val="00890EEF"/>
    <w:rsid w:val="00891782"/>
    <w:rsid w:val="00894EF5"/>
    <w:rsid w:val="00897285"/>
    <w:rsid w:val="008B12BC"/>
    <w:rsid w:val="008B7922"/>
    <w:rsid w:val="008C1006"/>
    <w:rsid w:val="008C225F"/>
    <w:rsid w:val="008C4512"/>
    <w:rsid w:val="008C5D30"/>
    <w:rsid w:val="008C7C83"/>
    <w:rsid w:val="008D1B8E"/>
    <w:rsid w:val="008D53C0"/>
    <w:rsid w:val="008E0114"/>
    <w:rsid w:val="008E4DB7"/>
    <w:rsid w:val="008E6CB4"/>
    <w:rsid w:val="008E7744"/>
    <w:rsid w:val="008F08E7"/>
    <w:rsid w:val="008F457C"/>
    <w:rsid w:val="008F62FB"/>
    <w:rsid w:val="00911EED"/>
    <w:rsid w:val="00912A1F"/>
    <w:rsid w:val="00912B15"/>
    <w:rsid w:val="0091711E"/>
    <w:rsid w:val="00923FFD"/>
    <w:rsid w:val="009317DB"/>
    <w:rsid w:val="0093254A"/>
    <w:rsid w:val="00934403"/>
    <w:rsid w:val="00937474"/>
    <w:rsid w:val="0093750B"/>
    <w:rsid w:val="00940147"/>
    <w:rsid w:val="009413CD"/>
    <w:rsid w:val="0095686B"/>
    <w:rsid w:val="0096218B"/>
    <w:rsid w:val="00967102"/>
    <w:rsid w:val="00971F69"/>
    <w:rsid w:val="00974697"/>
    <w:rsid w:val="00974978"/>
    <w:rsid w:val="0099063B"/>
    <w:rsid w:val="00992FB9"/>
    <w:rsid w:val="0099767F"/>
    <w:rsid w:val="009A0F39"/>
    <w:rsid w:val="009A51E6"/>
    <w:rsid w:val="009B0A7F"/>
    <w:rsid w:val="009B11B6"/>
    <w:rsid w:val="009C017E"/>
    <w:rsid w:val="009C35BF"/>
    <w:rsid w:val="009C3D79"/>
    <w:rsid w:val="009C42A2"/>
    <w:rsid w:val="009C4C50"/>
    <w:rsid w:val="009C6F90"/>
    <w:rsid w:val="009D083E"/>
    <w:rsid w:val="009D0933"/>
    <w:rsid w:val="009D19B2"/>
    <w:rsid w:val="009E01AB"/>
    <w:rsid w:val="009E4892"/>
    <w:rsid w:val="009F5BBD"/>
    <w:rsid w:val="00A02174"/>
    <w:rsid w:val="00A02357"/>
    <w:rsid w:val="00A047A6"/>
    <w:rsid w:val="00A14703"/>
    <w:rsid w:val="00A21673"/>
    <w:rsid w:val="00A41945"/>
    <w:rsid w:val="00A5100F"/>
    <w:rsid w:val="00A537BB"/>
    <w:rsid w:val="00A54352"/>
    <w:rsid w:val="00A54363"/>
    <w:rsid w:val="00A553DC"/>
    <w:rsid w:val="00A64798"/>
    <w:rsid w:val="00A661FA"/>
    <w:rsid w:val="00A703F3"/>
    <w:rsid w:val="00A733D6"/>
    <w:rsid w:val="00A74444"/>
    <w:rsid w:val="00A877A1"/>
    <w:rsid w:val="00A91A8D"/>
    <w:rsid w:val="00A9268A"/>
    <w:rsid w:val="00A94ACF"/>
    <w:rsid w:val="00A96C0A"/>
    <w:rsid w:val="00AA33F4"/>
    <w:rsid w:val="00AA61D9"/>
    <w:rsid w:val="00AC07D0"/>
    <w:rsid w:val="00AC502B"/>
    <w:rsid w:val="00AC577F"/>
    <w:rsid w:val="00AC6FE4"/>
    <w:rsid w:val="00AD519C"/>
    <w:rsid w:val="00AD5B9D"/>
    <w:rsid w:val="00AF6ADE"/>
    <w:rsid w:val="00B00C55"/>
    <w:rsid w:val="00B05288"/>
    <w:rsid w:val="00B11632"/>
    <w:rsid w:val="00B225F5"/>
    <w:rsid w:val="00B24C7F"/>
    <w:rsid w:val="00B25AF2"/>
    <w:rsid w:val="00B26D93"/>
    <w:rsid w:val="00B27712"/>
    <w:rsid w:val="00B2788E"/>
    <w:rsid w:val="00B3285E"/>
    <w:rsid w:val="00B34ACA"/>
    <w:rsid w:val="00B41970"/>
    <w:rsid w:val="00B432EA"/>
    <w:rsid w:val="00B476EC"/>
    <w:rsid w:val="00B53CCC"/>
    <w:rsid w:val="00B54617"/>
    <w:rsid w:val="00B55702"/>
    <w:rsid w:val="00B56722"/>
    <w:rsid w:val="00B6282E"/>
    <w:rsid w:val="00B70AF6"/>
    <w:rsid w:val="00B76501"/>
    <w:rsid w:val="00B77EC9"/>
    <w:rsid w:val="00B8340B"/>
    <w:rsid w:val="00B926B2"/>
    <w:rsid w:val="00B94B30"/>
    <w:rsid w:val="00BA0F83"/>
    <w:rsid w:val="00BA211F"/>
    <w:rsid w:val="00BA5215"/>
    <w:rsid w:val="00BA789D"/>
    <w:rsid w:val="00BB0F60"/>
    <w:rsid w:val="00BB5FA7"/>
    <w:rsid w:val="00BC24D2"/>
    <w:rsid w:val="00BC49B4"/>
    <w:rsid w:val="00BD36A9"/>
    <w:rsid w:val="00BE64AB"/>
    <w:rsid w:val="00BF1240"/>
    <w:rsid w:val="00BF271F"/>
    <w:rsid w:val="00BF425D"/>
    <w:rsid w:val="00BF4AC9"/>
    <w:rsid w:val="00C01243"/>
    <w:rsid w:val="00C02AB6"/>
    <w:rsid w:val="00C100A9"/>
    <w:rsid w:val="00C21403"/>
    <w:rsid w:val="00C22708"/>
    <w:rsid w:val="00C24561"/>
    <w:rsid w:val="00C45C62"/>
    <w:rsid w:val="00C55B54"/>
    <w:rsid w:val="00C638A1"/>
    <w:rsid w:val="00C770AE"/>
    <w:rsid w:val="00C77416"/>
    <w:rsid w:val="00C77C24"/>
    <w:rsid w:val="00C8209B"/>
    <w:rsid w:val="00C83597"/>
    <w:rsid w:val="00C84972"/>
    <w:rsid w:val="00C96F8E"/>
    <w:rsid w:val="00C97FB0"/>
    <w:rsid w:val="00CA0506"/>
    <w:rsid w:val="00CA0BAC"/>
    <w:rsid w:val="00CA2904"/>
    <w:rsid w:val="00CA5F01"/>
    <w:rsid w:val="00CA631F"/>
    <w:rsid w:val="00CB416B"/>
    <w:rsid w:val="00CB4E2D"/>
    <w:rsid w:val="00CB6922"/>
    <w:rsid w:val="00CB7DC8"/>
    <w:rsid w:val="00CC00BD"/>
    <w:rsid w:val="00CC03B9"/>
    <w:rsid w:val="00CC12A5"/>
    <w:rsid w:val="00CC1F51"/>
    <w:rsid w:val="00CC73DE"/>
    <w:rsid w:val="00CC7805"/>
    <w:rsid w:val="00CD06AC"/>
    <w:rsid w:val="00CD1D2C"/>
    <w:rsid w:val="00CD3B6C"/>
    <w:rsid w:val="00CD4402"/>
    <w:rsid w:val="00CD4A42"/>
    <w:rsid w:val="00CD5BCA"/>
    <w:rsid w:val="00CE5E9D"/>
    <w:rsid w:val="00CE6151"/>
    <w:rsid w:val="00CF207A"/>
    <w:rsid w:val="00CF3D0A"/>
    <w:rsid w:val="00D00133"/>
    <w:rsid w:val="00D0296E"/>
    <w:rsid w:val="00D1058B"/>
    <w:rsid w:val="00D107DA"/>
    <w:rsid w:val="00D14042"/>
    <w:rsid w:val="00D234A6"/>
    <w:rsid w:val="00D26CB3"/>
    <w:rsid w:val="00D331CF"/>
    <w:rsid w:val="00D34F5E"/>
    <w:rsid w:val="00D42679"/>
    <w:rsid w:val="00D44433"/>
    <w:rsid w:val="00D50293"/>
    <w:rsid w:val="00D5470E"/>
    <w:rsid w:val="00D56B71"/>
    <w:rsid w:val="00D57E7F"/>
    <w:rsid w:val="00D60A7A"/>
    <w:rsid w:val="00D6280A"/>
    <w:rsid w:val="00D66C22"/>
    <w:rsid w:val="00D711B4"/>
    <w:rsid w:val="00D743D4"/>
    <w:rsid w:val="00D82D1A"/>
    <w:rsid w:val="00D93C27"/>
    <w:rsid w:val="00D9715E"/>
    <w:rsid w:val="00D97325"/>
    <w:rsid w:val="00DA3602"/>
    <w:rsid w:val="00DA5C12"/>
    <w:rsid w:val="00DB112D"/>
    <w:rsid w:val="00DB3422"/>
    <w:rsid w:val="00DB6CA7"/>
    <w:rsid w:val="00DC041A"/>
    <w:rsid w:val="00DC0BFB"/>
    <w:rsid w:val="00DD3103"/>
    <w:rsid w:val="00DD4BE5"/>
    <w:rsid w:val="00DD4EB8"/>
    <w:rsid w:val="00DD7E54"/>
    <w:rsid w:val="00DE30B0"/>
    <w:rsid w:val="00DE415D"/>
    <w:rsid w:val="00DF2C75"/>
    <w:rsid w:val="00DF4628"/>
    <w:rsid w:val="00DF651E"/>
    <w:rsid w:val="00E03D73"/>
    <w:rsid w:val="00E06F13"/>
    <w:rsid w:val="00E10562"/>
    <w:rsid w:val="00E2435A"/>
    <w:rsid w:val="00E279E4"/>
    <w:rsid w:val="00E33627"/>
    <w:rsid w:val="00E3669A"/>
    <w:rsid w:val="00E37B15"/>
    <w:rsid w:val="00E43B27"/>
    <w:rsid w:val="00E50AF0"/>
    <w:rsid w:val="00E548E0"/>
    <w:rsid w:val="00E55293"/>
    <w:rsid w:val="00E64F47"/>
    <w:rsid w:val="00E729AD"/>
    <w:rsid w:val="00E74FE6"/>
    <w:rsid w:val="00E76045"/>
    <w:rsid w:val="00E81686"/>
    <w:rsid w:val="00E95ACB"/>
    <w:rsid w:val="00EA2360"/>
    <w:rsid w:val="00EC4A03"/>
    <w:rsid w:val="00EC50DB"/>
    <w:rsid w:val="00EC7939"/>
    <w:rsid w:val="00ED08FB"/>
    <w:rsid w:val="00EE764B"/>
    <w:rsid w:val="00F01846"/>
    <w:rsid w:val="00F06734"/>
    <w:rsid w:val="00F2347E"/>
    <w:rsid w:val="00F26E8D"/>
    <w:rsid w:val="00F27332"/>
    <w:rsid w:val="00F312E5"/>
    <w:rsid w:val="00F333B0"/>
    <w:rsid w:val="00F33549"/>
    <w:rsid w:val="00F4665B"/>
    <w:rsid w:val="00F5080E"/>
    <w:rsid w:val="00F5115F"/>
    <w:rsid w:val="00F832DC"/>
    <w:rsid w:val="00F858C9"/>
    <w:rsid w:val="00F87EBE"/>
    <w:rsid w:val="00F9021C"/>
    <w:rsid w:val="00F94067"/>
    <w:rsid w:val="00F94C7E"/>
    <w:rsid w:val="00F96125"/>
    <w:rsid w:val="00F965ED"/>
    <w:rsid w:val="00F96886"/>
    <w:rsid w:val="00F96B45"/>
    <w:rsid w:val="00F97E48"/>
    <w:rsid w:val="00FA1EDF"/>
    <w:rsid w:val="00FA7BE3"/>
    <w:rsid w:val="00FB368C"/>
    <w:rsid w:val="00FC4140"/>
    <w:rsid w:val="00FC4891"/>
    <w:rsid w:val="00FC6CE4"/>
    <w:rsid w:val="00FD086B"/>
    <w:rsid w:val="00FE10CC"/>
    <w:rsid w:val="00FE1846"/>
    <w:rsid w:val="00FE5BBC"/>
    <w:rsid w:val="00FF0DFC"/>
    <w:rsid w:val="00FF441D"/>
    <w:rsid w:val="00FF603E"/>
    <w:rsid w:val="00FF75B8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E3A5"/>
  <w15:docId w15:val="{39081B7B-C513-49B8-94A4-50A6F51F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9BD"/>
    <w:pPr>
      <w:spacing w:after="200" w:line="276" w:lineRule="auto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19BD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0F67D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ezproreda">
    <w:name w:val="No Spacing"/>
    <w:basedOn w:val="Normal"/>
    <w:qFormat/>
    <w:rsid w:val="007619BD"/>
    <w:pPr>
      <w:spacing w:after="0" w:line="240" w:lineRule="auto"/>
    </w:pPr>
    <w:rPr>
      <w:lang w:val="en-US" w:bidi="en-US"/>
    </w:rPr>
  </w:style>
  <w:style w:type="character" w:customStyle="1" w:styleId="oypena">
    <w:name w:val="oypena"/>
    <w:basedOn w:val="Zadanifontodlomka"/>
    <w:rsid w:val="00D93C27"/>
  </w:style>
  <w:style w:type="paragraph" w:styleId="Odlomakpopisa">
    <w:name w:val="List Paragraph"/>
    <w:basedOn w:val="Normal"/>
    <w:uiPriority w:val="34"/>
    <w:qFormat/>
    <w:rsid w:val="00CF207A"/>
    <w:pPr>
      <w:ind w:left="720"/>
      <w:contextualSpacing/>
    </w:pPr>
  </w:style>
  <w:style w:type="table" w:styleId="Reetkatablice">
    <w:name w:val="Table Grid"/>
    <w:basedOn w:val="Obinatablica"/>
    <w:uiPriority w:val="39"/>
    <w:rsid w:val="00D1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FFA6B-F88D-4C3E-9436-AF356B7B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dc:description/>
  <cp:lastModifiedBy>Ana-Maria Rešetar</cp:lastModifiedBy>
  <cp:revision>3</cp:revision>
  <dcterms:created xsi:type="dcterms:W3CDTF">2024-07-11T07:24:00Z</dcterms:created>
  <dcterms:modified xsi:type="dcterms:W3CDTF">2024-07-11T07:26:00Z</dcterms:modified>
  <dc:language>hr-HR</dc:language>
</cp:coreProperties>
</file>